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Saudi war on Yemen ends in failure</w:t>
      </w:r>
      <w:r>
        <w:rPr>
          <w:rFonts w:ascii="Arial" w:hAnsi="Arial" w:cs="Arial"/>
          <w:sz w:val="20"/>
          <w:szCs w:val="20"/>
        </w:rPr>
        <w:t xml:space="preserve"> </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Yusuf Fernandez   -   May 13, 2015</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Yemeni tribal forces and the Ansarullah movement have been attacking Saudi border posts as an answer to Saudi brutal aggression. An unknown number of Saudi military have been killed in recent weeks.  Some Yemenis who took part in these operations spoke about how shocked Saudi troops were when they had to face experienced Yemeni fighters. Thousands of Saudi soldiers have fled and abandoned their posts and arms behind them.</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Global Research, “the intelligence gathered by the western intelligence agencies showed that the Saudi military forces have fled their bases, military centers and bordering checkpoints near Yemen in groups,” diplomatic sources were quoted as saying by Iraq’s Arabic-language Nahrain Net news website. Other reports also said that over 10,000 soldiers from different Saudi military units have abandoned the army battalions and the National Guard, according to the Global Research.</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Saudi Arabia bought $67 billion worth of weapons from the US in 2011-12, experts believe that the Saudi army lacks strong morale to launch a ground invasion in Yemen and such an attack is considered as a suicide for Saudi Arabia by Western military experts.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Global Research, European intelligence services assert that Riyadh does not have a real army and infantry troops to fight against the Yemeni military and Ansarullah and tribal fighters in the event that Riyadh decides to launch a ground invasion.</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mainstream Western media outlets, such as the New York Times, consider that the Saudi campaign of airstrikes has failed to attain any achievement in Yemen. Ansarullah fighters and army troops have actually been taking over new cities and villages, including most of Aden, in these weeks.  Al-Qaeda terrorists and fugitive president Mansour Hadi’s supporters have been defeated all over the country despite Saudi support for these groups.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Yemeni people have carried out huge demonstrations in Sana’a and other cities and at least 642,000 Yemenis of all Islamic trends have joined militias in order to fight against the Saudi aggression.</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as an unintended results of the Saudi war against Yemen, more and more Yemenis identify now themselves with the Ansarullah movement and with the People’s Committees who are managing the country since the beginning of the war.</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Saudi Arabia tried to persuade Egypt and Pakistan to send troops to invade Yemen, but internal opposition to that move has prevented the governments of these countries from taking part in such dangerous adventure.    . . .    Egypt still remembers the bad experience of its previous Yemeni war (1962-1970), which was called “the Egyptian Vietnam”. After six years of war in a rugged land against Yemeni guerrillas, Egypt incurred important losses -thousands of casualties in addition to the economic cost estimated at half a million dollars a day- and was forced to leave the country.</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Egyptian experts think that the Saudi army, which is much more inexperienced and inefficient, would suffer a crushing defeat in Yemen. Moreover, Yemeni people possess numerous arms and every tribe in Yemen has heavy, medium and light weapons.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Saudi Arabia tried to create a mercenary force when Hadi was in Aden and pressured the leaders of some military brigades in some southern provinces in an attempt to turn them into a “free army” as was the case in Syria, but this project failed.</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Saudi Arabia is also arming and supporting al-Qaeda in the Arabian Peninsula and ISIL, two of the most brutal terrorist groups in the world, in order to make them fight against the Yemeni Army and </w:t>
      </w:r>
      <w:r>
        <w:rPr>
          <w:rFonts w:ascii="Arial" w:hAnsi="Arial" w:cs="Arial"/>
          <w:sz w:val="20"/>
          <w:szCs w:val="20"/>
        </w:rPr>
        <w:lastRenderedPageBreak/>
        <w:t>Ansarullah fighters.  Some US military officers are now warning of the long-term consequences of this Saudi support for terrorist groups.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Saudi rulers have lost this war, airstrikes continue and have killed and injured thousands of Yemeni civilians and members of tribes. There is no doubt that proud Yemeni people will not forget this aggression and will take advantage of any Saudi ground invasion to fight directly against those who have committed so many crimes against their people.</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Yemen, Ansarullah fighters, army troops and tribal fighters are now united in the defense of the homeland against an arrogant aggressor and this popular unity will become the best tool to achieve the final victory.</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also new criticism in Western media towards Saudi Arabia for the role of this country in the financing of terrorist and extremist groups in the Middle East. A recent article by writer Richard Norton Taylor criticized the sale of British weapons to the Saudi regimen claiming that the kingdom supports intolerant Wahhabi groups, some of which -- such as al-Qaeda and the ISIL -- have become a serious threat for both the region and the whole world.</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US decision-making circles think that Saudi state is getting more vulnerable and fragile due to internal discontent. Recently, US President Barack Obama   . . . referred to the internal problems of the Saudi society.</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Guardian, for its part, claimed that the Saudi regime “hopes the fall of Syria because it would mean a defeat for Iran and, thus, Saudi Arabia could become a major regional state, but this goal is unattainable”. “The approach taken by Saudi authorities could hold it disastrous surprises”, it added. The British newspaper pointed out that the future will have dire consequences for the Wahhabi kingdom. “The chaos will hit Saudi Arabia because of the acts of repression carried out by the authorities, rampant corruption and mass arrests”.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do Saudi rulers insist on the continuation of airstrikes despite the failure of its strategy? It is probably about arrogance and pride. Saudi rulers fear the humiliation of defeat in this war because it would make them appear as powerless in the eyes of the countries of the region and, even worse, of their own people. Therefore, in the next weeks, Saudi Arabia will desperately look for an exit strategy in order to cover up its failure in Yemen.</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---http://www.shiitenews.org/index.php/saudi-arab/item/16002-saudi-war-on-yemen-ends-in-failure/16002-saudi-war-on-yemen-ends-in-failure</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Investment implications of President Rohani’s economic opening</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Reza Yeganehshakib    -     Journal of Political Risk, Vol. 2, No. 7, July 2014</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election of Hasan Rohani as the president of the Islamic Republic of Iran, there has been hope among Iranians and the international community   . . .  Hasan Rohani  . . .   is known for being relatively moderate   . . .    The supreme leader’s approval of Rohani’s election can also be interpreted as an indicator of a potentially major shift in Iran’s policies.    . . .</w:t>
      </w: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incorporation of Iran into the global market and the possibility of further security cooperation between the U.S. and Iran will contribute to a more secure Middle East   . . .</w:t>
      </w: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already proved in the Afghanistan and Iraq wars, its cooperation with the U.S. could contribute to the security of the volatile Middle East and an increase in foreign investment in the region. Likewise, the Syrian conflict and recent turmoil in Iraq have shown that Iran and the U.S., as well as Israel and other U.S. allies, have one enemy in common, the jihadists and Islamist radicals.    . . .</w:t>
      </w: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current international sanctions regime that targets Iran is the main obstacle preventing Iran from fully joining the global economy.    . . .    The Iranian government has the liberty to confiscate any accumulated profits or factories whenever it determines that the investment endangers the national interest of the country. [For a detailed discussion and analysis of this issue, see: Reza Yeganehshakib,“Political Risk to Investment in Iran: Sanctions, Inflation, Protectionism, War, Bonyads, and the IRGC,” Journal of Political Risk, vol. 1, No. 7 (2013), http://www.jpolrisk.com/political-risk-to-investment-in-iran-sanctions-inflation-protectionism-war-bonyads-and-the-irgc/]    . . .</w:t>
      </w: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16"/>
          <w:szCs w:val="16"/>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August 1953, during Operation AJAX, the U.S. Central Intelligence Agency (CIA) overturned the Iranian Prime Minster, Dr. Mohamad Mosaddeq’s government through a coup d’etat. According to historical documents, the British government that saw its interests in danger after the nationalization of the oil by Mosaddeq in Iran in 195, played a significant role in persuading U.S. President Eisenhower to execute the coup.  [There are several documents about 1953’s coup and the nationalization of oil in Iran including letters, statements, memos, etc that have been digitalized and kept in the Historical Archives of the Iranian Institute for Contemporary Historical Studies. (IICHS). See: document No. 1/13303 available at http://www.iichs.org/index.asp?id 2094&amp;img_cat 130&amp;img_type 1; document No. 65821 available at http://www.iichs.org/index.asp?id 2083&amp;img_cat 130&amp;img_type 1;]     . .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recent achievements of the Islamic State in Iraq and Levant, especially their rapid military victories in Iraq and their fast progress towards the U.S. allies’ borders in the region such as Jordan, Israel, and Turkey, encourage U.S. and Iran security cooperation in the Middle East.</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While Israel may feel uncomfortable about this cooperation, if Israel and Iran find a bigger common enemy which poses an essential threat to Israel and Iran, namely ISIS, Israel’s fear of US diplomacy with Iran may disappear.    . . .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---http://www.jpolrisk.com/investment-implications-of-president-rohanis-economic-opening/</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the Iran Deal Bind the Next President?</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D. Ramsey, Law and Director of International and Comparative Law Programs at the University of San Diego School of Law      -      Sept. 16, 2015</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Atlantic, Bruce Ackerman (Yale) and David Golove (NYU) argue that the Iran nuclear deal is a binding, congressionally approved agreement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principally in response to these comments by Senator Marco Rubio:  “But again, it’s not a treaty. There’s nothing legally binding about it. This is basically [that] the President has decided to use the national security waiver of the current sanctions that are already on the books, and he’s going to use that waiver to lift sanctions on Iran. When I’m President of the United States, we will reimpose those sanctions on day one, and then I will go to Congress and ask them to even increase those sanctions more …”    . .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Ackerman and Golove say:  “Rubio is wrong. If taken seriously, his position would destroy the binding character of America’s commitments to the IMF, the World Bank, NAFTA, and the World Trade Organization. The accords that undergird these institutions, like the Iran agreement, have their foundation in statutes authorizing the president to commit the nation. The Constitution makes these statutes the ‘supreme law of the land,’ binding the country in the same manner as treaties approved by the Senate. The President can no more walk away from them than he can from any other law or treaty.”</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at Opinio Juris, Julian Ku disagrees: [A future] president  . . .   can Indeed Terminate the Iran Deal on “Day One”.</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core of the post:  “I am sorry to say that [[the Ackerman/Golove]] article, which comes from two super-respected legal scholars, is deeply and badly mistaken.</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argument is based on the premise that the ‘legislation that Congress adopted last May, …explicitly grants the Administration authority to negotiate and implement binding legal commitments with Iran.’ In their view, the Iran Deal is a simply a congressional-executive agreement exactly akin to U.S. trade agreements like NAFTA.</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this premise is wrong.  The U.S. government has repeatedly stated that the ‘Joint Coordinated Plan of Action’ between Iran and the P-6 powers is a ‘nonbinding’ political commitment. And the JCPOA itself talks only of ‘voluntary measures.’  Even the United Nations Security Council Resolution that implements the JCPOA does not legally bind the U.S. to stick to the JCPOA.    . . .   The Ackerman/Golove position depends on finding that Congress authorized the President to enter into a binding agreement with Iran, but they point to nothing suggesting Congress has done so.  To expand on my earlier arguments and to embellish Professor Ku’s excellent points: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bill Congress enacted in May (originally the Corker-Menendez bill, passed as HR 1191) does not say anything about authorizing a deal (or indeed, about authorizing anything).</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says that the President’s pre-existing statutory authority to lift sanctions on Iran is suspended for 60 days after any arrangement the President might make with Iran regarding sanctions.  That is, it’s a limit on the President’s prior authority, not a grant of additional authority.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its terms, if Congress does not act within a certain time to disapprove the lifting of sanctions, the President’s prior sanctions authority is revived.  In sum, the bill is about lifting sanctions now, not about promises in the future. Ackerman and Golove are simply wrong in asserting that the Corker-Menendez bill is a ‘statute authorizing the president to commit the nation’ akin to the statutes that expressly approved NAFTA and the other international institutions they name.</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Even if the Corker-Menendez bill is read to implicitly authorize a deal with Iran (subject to Congress’ later right to disapprove), it’s clear that the deal everyone had in mind was a nonbinding arrrangement.  As Professor Ku says, the administration’s position at the time (Spring 2015) was that it was negotiating a nonbinding deal.   . . .   The reason, of course, was that the administration did not want to ask for Congress’ authorization since it knew that authorization would be denied (even for a nonbinding deal).</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constitutionally, the President could only claim he didn’t need Congress’ authorization if the deal was nonbinding.  Thus there’s no basis in context to conclude that Congress authorized a binding deal since the administration made clear that a binding deal was not even being contemplated.  Put another way, there’s no possibility that the Corker-Menendez bill would have passed if Congress thought it had the effect Ackerman and Golove now claim it had.   . .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context of the May legislation was that the President planned to make a nonbinding arrangement without Congress’ approval and, pursuant to that arrangement, exercise his statutory power to suspend the sanctions.  Thus the point of Congress’ legislation was to limit the President’s power to suspend sanctions pursuant to a nonbinding agreement (which it assumed the President would conclude on his own authority).  To now argue that the legislation approved a binding agreement takes it completely out of context.</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Even if Congress authorized the President to make a binding deal with Iran (which it clearly didn’t), the actual deal is nonbinding   . . .   the deal is called a “Plan of Action” rather than a “compact,” “agreement,” or “accord”).</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also worth noting that even with Senator Rubio and other Republican presidential candidates calling the deal nonbinding, the administration has not claimed otherwise.  And for good reason: the argument for congressional authorization is embarrassingly weak, and without congressional authorization any presidential attempt to make a binding deal is almost certainly unconstitutional.</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Question:  If it can be shown in a court of law that Bruce Ackerman and David Golove deliberately and publicly misconstrued the meaning of HR 1191 on what legal charges can they then be prosecuted with a reasonable chance of success?</w:t>
      </w:r>
    </w:p>
    <w:p w:rsidR="00CC51EF" w:rsidRDefault="00CC51E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CC51EF" w:rsidRDefault="00CC51E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Question:  Should congress make additional laws in order to enable the easier prosecution of the deliberate and public misconstruing of the meaning of various sorts of laws by various sorts of legal authorities?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---http://blog.tenthamendmentcenter.com/2015/09/does-the-iran-deal-bind-the-next-president/</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Surprise! Surprise! Iran Discovers Huge Reserves of Uranium</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Russ Hepler</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the fact that almost nothing the Iranians tell the west is true, the following story is presented with a sincere degree of skepticism:    . .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ab/>
        <w:t xml:space="preserve">    Reuters    –    Iran has discovered an unexpectedly high reserve of uranium and will soon begin extracting the radioactive element at a new mine, the head of Iran’s Atomic Energy Organisation said on Saturday.  The comments cast doubt on previous assessments from some Western analysts who said the country had a low supply and would sooner or later would need to import uranium    . . .</w:t>
      </w:r>
    </w:p>
    <w:p w:rsidR="00CC51EF" w:rsidRDefault="00CC51EF">
      <w:pPr>
        <w:widowControl w:val="0"/>
        <w:autoSpaceDE w:val="0"/>
        <w:autoSpaceDN w:val="0"/>
        <w:adjustRightInd w:val="0"/>
        <w:spacing w:after="0" w:line="240" w:lineRule="auto"/>
        <w:ind w:left="432" w:right="432"/>
        <w:rPr>
          <w:rFonts w:ascii="Arial" w:hAnsi="Arial" w:cs="Arial"/>
          <w:sz w:val="14"/>
          <w:szCs w:val="14"/>
        </w:rPr>
      </w:pPr>
    </w:p>
    <w:p w:rsidR="00CC51EF" w:rsidRDefault="00CC51EF">
      <w:pPr>
        <w:widowControl w:val="0"/>
        <w:autoSpaceDE w:val="0"/>
        <w:autoSpaceDN w:val="0"/>
        <w:adjustRightInd w:val="0"/>
        <w:spacing w:after="0" w:line="240" w:lineRule="auto"/>
        <w:ind w:left="432" w:right="432"/>
        <w:rPr>
          <w:rFonts w:ascii="Arial" w:hAnsi="Arial" w:cs="Arial"/>
          <w:sz w:val="14"/>
          <w:szCs w:val="14"/>
        </w:rPr>
      </w:pPr>
    </w:p>
    <w:p w:rsidR="00CC51EF" w:rsidRDefault="00CC51EF">
      <w:pPr>
        <w:widowControl w:val="0"/>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ab/>
        <w:t xml:space="preserve">    . . .  “I cannot announce (the level of) Iran’s uranium mine reserves. The important thing is that before aerial prospecting for uranium ores we were not too optimistic, but the new discoveries have made us confident about our reserves,” Iranian nuclear chief Ali Akbar Salehi was quoted as saying by state news agency IRNA.</w:t>
      </w:r>
    </w:p>
    <w:p w:rsidR="00CC51EF" w:rsidRDefault="00CC51EF">
      <w:pPr>
        <w:widowControl w:val="0"/>
        <w:autoSpaceDE w:val="0"/>
        <w:autoSpaceDN w:val="0"/>
        <w:adjustRightInd w:val="0"/>
        <w:spacing w:after="0" w:line="240" w:lineRule="auto"/>
        <w:ind w:left="432" w:right="432"/>
        <w:rPr>
          <w:rFonts w:ascii="Arial" w:hAnsi="Arial" w:cs="Arial"/>
          <w:sz w:val="18"/>
          <w:szCs w:val="18"/>
        </w:rPr>
      </w:pPr>
    </w:p>
    <w:p w:rsidR="00CC51EF" w:rsidRDefault="00CC51EF">
      <w:pPr>
        <w:widowControl w:val="0"/>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ab/>
        <w:t xml:space="preserve">    Salehi said uranium exploration had covered almost two-thirds of Iran and would be complete in the next four years.   . . .</w:t>
      </w:r>
    </w:p>
    <w:p w:rsidR="00CC51EF" w:rsidRDefault="00CC51EF">
      <w:pPr>
        <w:widowControl w:val="0"/>
        <w:autoSpaceDE w:val="0"/>
        <w:autoSpaceDN w:val="0"/>
        <w:adjustRightInd w:val="0"/>
        <w:spacing w:after="0" w:line="240" w:lineRule="auto"/>
        <w:ind w:left="432" w:right="432"/>
        <w:rPr>
          <w:rFonts w:ascii="Arial" w:hAnsi="Arial" w:cs="Arial"/>
          <w:sz w:val="14"/>
          <w:szCs w:val="14"/>
        </w:rPr>
      </w:pPr>
    </w:p>
    <w:p w:rsidR="00CC51EF" w:rsidRDefault="00CC51EF">
      <w:pPr>
        <w:widowControl w:val="0"/>
        <w:autoSpaceDE w:val="0"/>
        <w:autoSpaceDN w:val="0"/>
        <w:adjustRightInd w:val="0"/>
        <w:spacing w:after="0" w:line="240" w:lineRule="auto"/>
        <w:ind w:left="432" w:right="432"/>
        <w:rPr>
          <w:rFonts w:ascii="Arial" w:hAnsi="Arial" w:cs="Arial"/>
          <w:sz w:val="14"/>
          <w:szCs w:val="14"/>
        </w:rPr>
      </w:pPr>
    </w:p>
    <w:p w:rsidR="00CC51EF" w:rsidRDefault="00CC51EF">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18"/>
          <w:szCs w:val="18"/>
        </w:rPr>
        <w:t xml:space="preserve"> </w:t>
      </w:r>
      <w:r>
        <w:rPr>
          <w:rFonts w:ascii="Arial" w:hAnsi="Arial" w:cs="Arial"/>
          <w:sz w:val="18"/>
          <w:szCs w:val="18"/>
        </w:rPr>
        <w:tab/>
        <w:t xml:space="preserve">   . . .     A report published in 2013 by U.S. think-tanks Carnegie Endowment and the Federation of American Scientists said the scarcity and low quality of Iran’s uranium resources compelled it “to rely on external sources of natural and processed uranium”.  It added: “Despite the Iranian leadership’s assertions to the contrary, Iran’s estimated uranium endowments are nowhere near sufficient to supply its planned nuclear program.”    . . .</w:t>
      </w:r>
      <w:r>
        <w:rPr>
          <w:rFonts w:ascii="Arial" w:hAnsi="Arial" w:cs="Arial"/>
          <w:sz w:val="20"/>
          <w:szCs w:val="20"/>
        </w:rPr>
        <w:t xml:space="preserve">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---http://www.vosizneias.com/215058/2015/09/12/2102-tehran-iran-says-finds-unexpectedly-high-uranium-reserve/</w:t>
      </w: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---http://www.thefederalistpapers.org/world/surprise-surprise-iran-discovers-huge-reserves-of-uranium</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Whitewashes World War I</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Rothschild    -    Rothschild has appeared on Nightline, C-SPAN, The O'Reilly Factor, and NPR, and his newspaper commentaries have run in the Chicago Tribune, the L.A. Times, the Miami Herald, and a host of other newspapers.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just went to Flanders Field in Belgium to pay homage to those who lost their lives in World War I. But rather than use the occasion to point out the idiotic hideousness of that war, he whitewashed it, praising "the profound sacrifice they made so that we might stand here today."  He saluted their "willingness to fight, and die, for the freedom that we enjoy as their heirs." But this was not a war for freedom. It was a triumph of nationalism, pitting one nation's vanity against another. It was a war between empires for the spoils.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Historian Allen Ruff, who is studying the causes and effects of World War I, was not impressed with Obama's speech. "With Both NATO and the European Union headquartered in Brussels," Ruff says, "it would have been a true homage to the dead buried in Belgium a hundred years ago if Obama spoke out against all major power imperial ambition, the true cause of so much slaughter then and since, rather than mouthing some trite euphemisms about the honor of dying for 'freedom.' "</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Obama insisted on repeating the very propaganda that fed that war. Without irony, he quoted the poem from John McRae that was used to encourage soldiers to sign up and civilians to pay for war bonds. Here's the verse that Obama cited:</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you from failing hands we throw The torch; be yours to hold it high.</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ye break faith with us who die We shall not sleep, though poppies grow</w:t>
      </w: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Flanders fields."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chose not to quote the great World War I poet Wilfred Owen, who was killed just days before the end of that most senseless slaughter. The title of his famous poem, "Dulce et Decorum Est" refers to the line that soldiers said on their way to the war, meaning, "How sweet and right it is to die for your country."</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is the second half of that poem, where Owen describes a soldier next to him dying from an attack of poison gas.</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all my dreams before my helpless sight, He plunges at me, guttering, choking, drowning. If in some smothering dreams, you too could pace Behind the wagon that we flung him in, And watch the white eyes writhing in his face, His hanging face, like a devil's sick of sin; If you could hear, at every jolt, the blood Come gargling from the froth-corrupted lungs, Obscene as cancer, bitter as the cud Of vile, incurable sores on innocent tongues, - My friend, you would not tell with such high zest To children ardent for some desperate glory, The old Lie: Dulce et decorum est."</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 patria mori. Yet there was delivering that "old lie" with "high zest," and the obscenity of it should not escape us, even 100 years on. For the soldiers Obama praised did not die for "freedom," but for something much more base.</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died for the same reason U.S. soldiers died in the Iraq War. As Howard Zinn noted, ten years ago, "They died for the greed of the oil cartels, for the expansion of the American empire, for the political ambitions of the President. They died to cover up the theft of the nation's wealth to pay for the machines of death."</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only hope to live long enough to hear a U.S. President speak honestly about war. This one sure won't.</w:t>
      </w:r>
    </w:p>
    <w:p w:rsidR="00CC51EF" w:rsidRDefault="00CC51EF">
      <w:pPr>
        <w:widowControl w:val="0"/>
        <w:autoSpaceDE w:val="0"/>
        <w:autoSpaceDN w:val="0"/>
        <w:adjustRightInd w:val="0"/>
        <w:spacing w:after="0" w:line="240" w:lineRule="auto"/>
        <w:rPr>
          <w:rFonts w:ascii="Times New Roman" w:hAnsi="Times New Roman" w:cs="Times New Roman"/>
          <w:sz w:val="24"/>
          <w:szCs w:val="24"/>
        </w:rPr>
      </w:pPr>
    </w:p>
    <w:p w:rsidR="00CC51EF" w:rsidRDefault="00CC51E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http://www.issuesandalibis.org/041114.html</w:t>
      </w: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Arial" w:hAnsi="Arial" w:cs="Arial"/>
          <w:sz w:val="20"/>
          <w:szCs w:val="20"/>
        </w:rPr>
      </w:pPr>
    </w:p>
    <w:p w:rsidR="00CC51EF" w:rsidRDefault="00CC51E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C51EF" w:rsidRDefault="00CC51EF">
      <w:pPr>
        <w:widowControl w:val="0"/>
        <w:autoSpaceDE w:val="0"/>
        <w:autoSpaceDN w:val="0"/>
        <w:adjustRightInd w:val="0"/>
        <w:spacing w:after="0" w:line="240" w:lineRule="auto"/>
        <w:rPr>
          <w:rFonts w:ascii="Times New Roman" w:hAnsi="Times New Roman" w:cs="Times New Roman"/>
          <w:sz w:val="34"/>
          <w:szCs w:val="34"/>
        </w:rPr>
      </w:pPr>
    </w:p>
    <w:p w:rsidR="00CC51EF" w:rsidRDefault="00CC51E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C51EF" w:rsidSect="00CC51E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1EF" w:rsidRDefault="00CC51EF" w:rsidP="00CC51EF">
      <w:pPr>
        <w:spacing w:after="0" w:line="240" w:lineRule="auto"/>
      </w:pPr>
      <w:r>
        <w:separator/>
      </w:r>
    </w:p>
  </w:endnote>
  <w:endnote w:type="continuationSeparator" w:id="0">
    <w:p w:rsidR="00CC51EF" w:rsidRDefault="00CC51EF" w:rsidP="00CC51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1EF" w:rsidRDefault="00CC51E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1EF" w:rsidRDefault="00CC51EF" w:rsidP="00CC51EF">
      <w:pPr>
        <w:spacing w:after="0" w:line="240" w:lineRule="auto"/>
      </w:pPr>
      <w:r>
        <w:separator/>
      </w:r>
    </w:p>
  </w:footnote>
  <w:footnote w:type="continuationSeparator" w:id="0">
    <w:p w:rsidR="00CC51EF" w:rsidRDefault="00CC51EF" w:rsidP="00CC51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1EF" w:rsidRDefault="00CC51E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1EF"/>
    <w:rsid w:val="00940417"/>
    <w:rsid w:val="00CC51E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3190</Words>
  <Characters>18185</Characters>
  <Application>Microsoft Office Word</Application>
  <DocSecurity>4</DocSecurity>
  <Lines>151</Lines>
  <Paragraphs>42</Paragraphs>
  <ScaleCrop>false</ScaleCrop>
  <Company/>
  <LinksUpToDate>false</LinksUpToDate>
  <CharactersWithSpaces>21333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2016-05-16T14:49:00Z</dcterms:created>
  <dcterms:modified xsi:type="dcterms:W3CDTF">2016-05-16T14:49:00Z</dcterms:modified>
</cp:coreProperties>
</file>