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E20" w:rsidRDefault="00DD0E2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Evidence for ET is mounting daily, but not proven</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Lately, a handful of new discoveries make it seem more likely that we are not alone — that there is life somewhere else in the universe.</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 past several days, scientists have reported there are three times as many stars as they previously thought.    .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first signs of life elsewhere are more likely to be closer to slime mold than to ET. It can evolve from there.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What last week's findings did was   . . .   increase the number of potential homes for life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universe's most common stars: red dwarfs, which are smaller than our sun and dimmer. Up to 90 percent of the stars in the universe are red dwarf stars. And astronomers assumed planets circling them would be devoid of life.</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three years ago, NASA got the top experts in the field together. They crunched numbers and realized that life could exist on planets orbiting red dwarfs. The planets would have to be closer to their star and wouldn't rotate as quickly as Earth. The scientists considered habitability and found conditions near these small stars    . . .  would still be acceptable for life.    . . .</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w:t>
      </w:r>
      <w:r>
        <w:rPr>
          <w:rFonts w:ascii="Times New Roman" w:hAnsi="Times New Roman" w:cs="Times New Roman"/>
          <w:sz w:val="24"/>
          <w:szCs w:val="24"/>
        </w:rPr>
        <w:t xml:space="preserve"> However, those are all water worlds.  Inner system planets of red dwarfs that have any water at all, in liquid form, are all very deep ocean, no land area at all, due to the lower light pressure, and so life there is all single celled, since there are no tidal pools. }</w:t>
      </w: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---http://www.google.com/hostednews/ap/article/ALeqM5goqkPsbH-vWnezy2RIWb3lwCCXwA?docId=5ee49a4926f14ab1b484b191d9add7a9</w:t>
      </w: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Trials and Errors: Principle and Pragmatism in Strategies of International Justice</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Snyder, Jack, and Leslie Vinjamuri  -   International Security 28, no. 3 (Winter 2003/04)</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Overview</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Do international criminal tribunals prevent mass atrocities and other gross human rights abuses? According to Jack Snyder of Columbia Universityand Leslie Vinjamuri of Georgetown University, recent tribunals such as those convened to prosecute war crimes in Yugoslavia and Central Africa “have utterly failed to deter subsequent abuses.” In contrast, amnesties and truth commissions have succeeded largely because they solicit cooperation from powerful actors with vested interests in the outcome. Snyder and Vinjamuri maintain that preventing atrocities and strengthening respect for the law often require “striking politically expedient bargains that create effective coalitions to contain the power of potential perpetrators of abuses.” This pragmatic approach, the authors argue, is key to the establishment of a norm-governed political order and effective administrative institutions.</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---http://belfercenter.ksg.harvard.edu/files/snyder and vinjamuri.pdf</w:t>
      </w:r>
    </w:p>
    <w:p w:rsidR="00DD0E20" w:rsidRDefault="00DD0E20">
      <w:pPr>
        <w:widowControl w:val="0"/>
        <w:autoSpaceDE w:val="0"/>
        <w:autoSpaceDN w:val="0"/>
        <w:adjustRightInd w:val="0"/>
        <w:spacing w:after="0" w:line="240" w:lineRule="auto"/>
        <w:rPr>
          <w:rFonts w:ascii="Arial" w:hAnsi="Arial" w:cs="Arial"/>
          <w:sz w:val="12"/>
          <w:szCs w:val="12"/>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---http://belfercenter.ksg.harvard.edu/publication/343/trials_and_errors.html?breadcrumb=%2Fexperts%2F1192%2Fjack_snyder</w:t>
      </w: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critical ethnography of teacher development and change in a collaborative group setting to improve practice</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Salleh, H., 2008 - PhD Thesis - University of Bath - Faculty of Humanities &amp; Social Sciences, Education  -  ID Code: 11415</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Abstract</w:t>
      </w:r>
    </w:p>
    <w:p w:rsidR="00DD0E20" w:rsidRDefault="00DD0E20">
      <w:pPr>
        <w:widowControl w:val="0"/>
        <w:autoSpaceDE w:val="0"/>
        <w:autoSpaceDN w:val="0"/>
        <w:adjustRightInd w:val="0"/>
        <w:spacing w:after="0" w:line="240" w:lineRule="auto"/>
        <w:rPr>
          <w:rFonts w:ascii="Arial" w:hAnsi="Arial" w:cs="Arial"/>
          <w:sz w:val="10"/>
          <w:szCs w:val="1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 cultural description and interpretation of   . . .  Teachers Network Learning Circle’s participants    . . .   within a predominantly symmetrical or consensual power relationship. . . .   Six Singapore primary teachers at grade 4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Teachers Network Learning Circle, a formal professional development platform, employs distinctive tools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fundamental reason for choosing this   . . .   is its potential    . . .  and    . . .   its motto “For Teachers, By Teachers”.    . . .   Investing in teacher professional development and professionalism is important. The literature   . . . point[s] towards embracing    . . .  community and socio-cultural theory, and bringing to bear emotions, values and identity in teacher learning – and thus investing in the ‘whole person’ (Day, 1997).</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power underlies all social relations and activities    . . .   the research study took into consideration the    . . .  theory of Habermas, Brookfield and Mezirow. The findings of the study found that [a] symmetrical power relation[ship] contributed to teacher development    . . .   and    . . .  to a collegial collaborative relationship that took into account   . . .   emotions, moral[s], identity development and group solidarity   . . .   [and] to the consciousness, critique and co-construction of professional knowledge.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It had empowered participants insofar as it built participants’ capacities to act successfully within an existing system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symmetrical power relation was undergirded by rules and principles of democratic participation as outlined by Habermas’ discourse ethics. The findings also revealed the importance of support given by the school principal and Teachers Network personnel in protecting democratic spaces, or Habermas’ concept of the lifeworld, from the system imperatives of power and money.</w:t>
      </w:r>
    </w:p>
    <w:p w:rsidR="00DD0E20" w:rsidRDefault="00DD0E20">
      <w:pPr>
        <w:widowControl w:val="0"/>
        <w:autoSpaceDE w:val="0"/>
        <w:autoSpaceDN w:val="0"/>
        <w:adjustRightInd w:val="0"/>
        <w:spacing w:after="0" w:line="240" w:lineRule="auto"/>
        <w:rPr>
          <w:rFonts w:ascii="Arial" w:hAnsi="Arial" w:cs="Arial"/>
          <w:sz w:val="12"/>
          <w:szCs w:val="12"/>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http://opus.bath.ac.uk/11415/1/Salleh_PHD.pdf</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http://opus.bath.ac.uk/11415/</w:t>
      </w: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U.S. Congressman Calls Morocco Key Counterterrorism 'Ally;'</w:t>
      </w: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Warns that a Polisario-led 'Fake Microstate' in Western Sahara Would Creat</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Moroccan American Center for Policy on behalf of the Government of Morocco</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PRNewswire - USNewswire   -   Dec. 9, 2010</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Rep. Lincoln Diaz-Balart denounces recent "cynical attempts at purposeful disinformation" about Western Sahara on House floor.</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Diaz-Balart, who chairs the House's Morocco Caucus, reiterated the clear, longstanding U.S. support for a compromise solution based on autonomy under Moroccan sovereignty in the Western Sahara and warned against certain "Castro-style repression" in a Polisario-led "fake microstate."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reality of Moroccan sovereignty over the Sahara enjoys the support of the entire population of Morocco, including the Sahara itself," Rep. Diaz-Balart reminded his colleagues. "   . . .   But Algeria and the so-called Polisario continue to insist on the creation of a fake microstate. HM King Mohammed VI and his negotiating team have demonstrated great courage and patience in dealing with this critical issue    . . .    Majorities in this Congress comprising both Republicans and Democrats have spoken clearly in support of our ally Morocco's position"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so-called Polisario group is financed by Algeria and is propped up by Castro's Communist dictatorship in Cuba." Diaz-Balart continued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 Diaz-Balart also joined many in the international community by denouncing inaccurate, inflammatory media coverage of recent events in Laayoune (Western Sahara), in southern Morocco as "biased" and "cynical attempts at purposeful disinformation."  Today, in letters appearing in The Hill, Robert M. Holley, Executive Director of the Moroccan American Center for Policy, and the American Council for Moroccan POWs also strongly criticized grossly distorted allegations run earlier by the publication.</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"[D]istortions [which appeared in the publication] dishonor the lives of the 11 Moroccan police officers savagely killed by violent, pro-Polisario militants who infiltrated what began as a peaceful social protest over economic issues near Laayoune," wrote Mr. Holley in The Hill. "These police officers were armed only with non-lethal weapons […] [these distorted] allegations have been repeatedly denounced by the international human rights community."     . . .</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http://news.yahoo.com/s/usnw/20101209/pl_usnw/DC15093_1</w:t>
      </w: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Israel will not get Recognition? 1st Edition   -  Who Wanted War in 1939?</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Al-Manshoor Party 2009  -  www.newpakistan.org | www.almanshoor.org</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Al-Manshoor is the manifesto for the liberation of Pakistan and Afghanistan to establish peace and civilization in the region. And it is our answer to the evil designs of the Jewish-Christian Zionists and the American-led aggression against the Muslim World. The political party to implement this manifesto has been named, on the name of the manifesto, as Pakistan Al-Manshoor Party.</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generally taken for granted the world over that Adolf Hitler was the initiator of the Second World War. But    . . .    Adolf Hitler seem to be the least in need of a war.</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on Sept 3, 1939 Britain, France, Australia and New Zealand declared war on Germany, Germany had not attacked any of them. And when on Sept 10, 1939 Canada declared war on Germany, she had not been attacked by Germany either.</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Such has been the powerful and widespread impact of propaganda, unleashed by the British, Americans and Zionists that practically the whole world has been misled. If they distorted history so thoroughly then and prevailed, what is the situation now?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Their deliberate planning to launch the programme of conquering the Muslim nations shows again that the balance of power in the world, as yet, is not in favour of civilization.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Zionists   . . .     first fuelled the two world wars and then due to the consequent weaknesses and disorientations which developed in the belligerent nations after passing through two exhaustive struggles within the span of just thirty two years (1914-1945), attained a position that they could manipulate practically all Christian nations – a new and dangerous situation for the world.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Even though Adolf Hitler, considered responsible for World War II and “Holocaust”, is a totally condemned person in the West and consequently, under that momentum, the world over, yet I find his observations about Jews quite relevant to our present situation.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According to Adolf Hitler "Schopenhauer once described, when he spoke of the Jew as 'The Great Master of Lies’”. I can say this is an ever-truthful statement. Although today we are more aware and that too on world level but Adolf Hitler’s testimony is not being utilized in the service of civilization since the West and the Zionists ‘expelled’ him from history. Rejecting this, we will use anything from anywhere, which helps us in correcting distortions Zionists and the West have infiltrated into history.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Yes, it is so clear, as anybody who has the courage and patience to go into the matter will find, that the “International Jewry” and its helpers were responsible for the Second World War. They wanted the war to crush Germany. Hitler’s understanding about Jews was not wrong. Other western leaders should have improved upon it. But they failed to understand his position and make adjustments with him. They were small men. And then there were Jews-Zionist to add fuel to the fire. And now the whole world is paying the price.</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the Jews-Zionists manipulate Christian nations and use their resources, manpower and armies for their own agenda, which only leads to destruction and then more destruction of others. The whirlwind of two world wars in Europe in which Jews-Zionists played diabolic roles sucked in Muslims with the creation of Israel.</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 very peculiar type of slavery has already descended on the West, we have the habit of thinking about them as wise nations who know what to do and what not to do. It is not so, on the contrary the question now is how the West will liberate itself from the Jews-Zionists. And the matter is so intimately intertwined with the Muslim world that without their right initiative, it will be difficult if not impossible for the West to extricate itself from the Jewish-Zionist grip. The world has already entered a qualitatively new era, where old stereotypes – concepts and behaviour – would lead us nowhere. It is time we update ourselves and contribute positively to the humanity’s good future by confronting Zionists and the American-led West on all fronts.</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http://almanshoor.org/Israel1/ch3.html</w:t>
      </w: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Virtues of Mendacity: On Lying in Politics</w:t>
      </w: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Martin Jay, History Dept. U. of California, Berkeley</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Railing against the “lies” of one’s opponents while privately granting to oneself the right to commit one’s own in the name of a higher cause than truth-telling was, after all, not an invention of the Nazis, indeed of any 20th-century political movement. Instead, it has been in play ever since Plato’s controversial notion of the “gennian pseudos” from The Republic (414c), which is traditionally — although not without controversy -- translated as “noble lie,” noble both in the sense of well-bred and lofty in intention.</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justification was revived with considerable embellishment by Machiavelli, whose name has been identified with it ever since. In The Prince (1513), his manual for the art of ruling unconstrained by moral scruple or Christian piety, he made a powerful case for what became known as the doctrine of raison d’état. “Those princes,” he shrewdly observed, “have done great things who have held faith of small account, and who have known, with their cleverness, to trick men’s brains, and at the end they have surpassed those who founded themselves on sincerity.”</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notorious l8th chapter of the book, “In What Way Faith Should Be Kept by Princes,” he urged rulers to model themselves on the cunning fox more than the powerful lion, “for the one who has known better how to use the fox has come out better. But it is necessary to know how to color this nature well, and to be a great pretender and dissembler.”</w:t>
      </w:r>
    </w:p>
    <w:p w:rsidR="00DD0E20" w:rsidRDefault="00DD0E20">
      <w:pPr>
        <w:widowControl w:val="0"/>
        <w:autoSpaceDE w:val="0"/>
        <w:autoSpaceDN w:val="0"/>
        <w:adjustRightInd w:val="0"/>
        <w:spacing w:after="0" w:line="240" w:lineRule="auto"/>
        <w:rPr>
          <w:rFonts w:ascii="Arial" w:hAnsi="Arial" w:cs="Arial"/>
          <w:sz w:val="20"/>
          <w:szCs w:val="20"/>
        </w:rPr>
      </w:pPr>
    </w:p>
    <w:p w:rsidR="00DD0E20" w:rsidRDefault="00DD0E2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Soon after, Machiavelli’s name was transformed into a generic term of opprobrium, initially because the Catholic Church identified him with the secularization of politics threatening Christendom in the early modern era.    . . .</w:t>
      </w:r>
    </w:p>
    <w:p w:rsidR="00DD0E20" w:rsidRDefault="00DD0E20">
      <w:pPr>
        <w:widowControl w:val="0"/>
        <w:autoSpaceDE w:val="0"/>
        <w:autoSpaceDN w:val="0"/>
        <w:adjustRightInd w:val="0"/>
        <w:spacing w:after="0" w:line="240" w:lineRule="auto"/>
        <w:rPr>
          <w:rFonts w:ascii="Arial" w:hAnsi="Arial" w:cs="Arial"/>
          <w:sz w:val="16"/>
          <w:szCs w:val="16"/>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http://www.polisci.upenn.edu/theoryworkshops/martinjay.pdf</w:t>
      </w: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D0E20" w:rsidRDefault="00DD0E2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p>
    <w:p w:rsidR="00DD0E20" w:rsidRDefault="00DD0E2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D0E20" w:rsidSect="00DD0E20">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E20" w:rsidRDefault="00DD0E20" w:rsidP="00DD0E20">
      <w:pPr>
        <w:spacing w:after="0" w:line="240" w:lineRule="auto"/>
      </w:pPr>
      <w:r>
        <w:separator/>
      </w:r>
    </w:p>
  </w:endnote>
  <w:endnote w:type="continuationSeparator" w:id="0">
    <w:p w:rsidR="00DD0E20" w:rsidRDefault="00DD0E20" w:rsidP="00DD0E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E20" w:rsidRDefault="00DD0E2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E20" w:rsidRDefault="00DD0E20" w:rsidP="00DD0E20">
      <w:pPr>
        <w:spacing w:after="0" w:line="240" w:lineRule="auto"/>
      </w:pPr>
      <w:r>
        <w:separator/>
      </w:r>
    </w:p>
  </w:footnote>
  <w:footnote w:type="continuationSeparator" w:id="0">
    <w:p w:rsidR="00DD0E20" w:rsidRDefault="00DD0E20" w:rsidP="00DD0E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E20" w:rsidRDefault="00DD0E20">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E20"/>
    <w:rsid w:val="00B72231"/>
    <w:rsid w:val="00DD0E2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2073</Words>
  <Characters>11822</Characters>
  <Application>Microsoft Office Word</Application>
  <DocSecurity>0</DocSecurity>
  <Lines>98</Lines>
  <Paragraphs>27</Paragraphs>
  <ScaleCrop>false</ScaleCrop>
  <Company/>
  <LinksUpToDate>false</LinksUpToDate>
  <CharactersWithSpaces>13868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2016-07-08T22:54:00Z</dcterms:created>
  <dcterms:modified xsi:type="dcterms:W3CDTF">2016-07-08T22:54:00Z</dcterms:modified>
</cp:coreProperties>
</file>