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8B1" w:rsidRDefault="003968B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League of Dictators?</w:t>
      </w: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Why China and Russia Will Continue to Support Autocracies</w:t>
      </w: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Robert Kagan   -  April 30, 2006; B07</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Ever since liberalism emerged in the 18th century, its inevitable conflict with autocracy has helped shape international politics.   . . .</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main protagonists on the side of autocracy will not be the petty dictatorships of the Middle East    . . .   They will be the two great autocratic powers, China and Russia   . . .</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Talk of Russia's impending democratization has faded, as has talk of integration.   . . .</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Until now the liberal West's strategy has been to try to integrate these two powers into the international liberal order, to tame them and make them safe for liberalism. But that strategy rested on an expectation of their gradual, steady transformation into liberal societies.   . . .</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Their reactions to the "color revolutions" in Ukraine, Georgia and Kyrgyzstan were hostile and suspicious, and understandably so. Western liberals see political upheaval in these countries as part of a natural if uneven evolution toward liberalism and democracy. But the Russians and Chinese see nothing natural in these occurrences, only Western-backed coups designed to advance Western influence in strategically vital parts of the world.</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Are they so wrong? Might not the successful liberalization of Ukraine, urged and supported by the Western democracies, be but the prelude to the incorporation of that nation into NATO and the European Union -- in short, the expansion of Western liberal hegemony?    . . .</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Americans and Europeans have labored over the past two decades to establish new liberal "norms" to permit interventions in places such as Kosovo, Rwanda and Sudan, Russia and China have used their veto power to prevent such an "evolution" of norms. The future is likely to hold more such conflicts.</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http://forum.atimes.com/topic.asp?TOPIC_ID=6936</w:t>
      </w:r>
    </w:p>
    <w:p w:rsidR="003968B1" w:rsidRDefault="003968B1">
      <w:pPr>
        <w:widowControl w:val="0"/>
        <w:autoSpaceDE w:val="0"/>
        <w:autoSpaceDN w:val="0"/>
        <w:adjustRightInd w:val="0"/>
        <w:spacing w:after="0" w:line="240" w:lineRule="auto"/>
        <w:rPr>
          <w:rFonts w:ascii="Times New Roman" w:hAnsi="Times New Roman" w:cs="Times New Roman"/>
          <w:sz w:val="28"/>
          <w:szCs w:val="28"/>
        </w:rPr>
      </w:pPr>
    </w:p>
    <w:p w:rsidR="003968B1" w:rsidRDefault="003968B1">
      <w:pPr>
        <w:widowControl w:val="0"/>
        <w:autoSpaceDE w:val="0"/>
        <w:autoSpaceDN w:val="0"/>
        <w:adjustRightInd w:val="0"/>
        <w:spacing w:after="0" w:line="240" w:lineRule="auto"/>
        <w:rPr>
          <w:rFonts w:ascii="Times New Roman" w:hAnsi="Times New Roman" w:cs="Times New Roman"/>
          <w:sz w:val="28"/>
          <w:szCs w:val="28"/>
        </w:rPr>
      </w:pPr>
    </w:p>
    <w:p w:rsidR="003968B1" w:rsidRDefault="003968B1">
      <w:pPr>
        <w:widowControl w:val="0"/>
        <w:autoSpaceDE w:val="0"/>
        <w:autoSpaceDN w:val="0"/>
        <w:adjustRightInd w:val="0"/>
        <w:spacing w:after="0" w:line="240" w:lineRule="auto"/>
        <w:rPr>
          <w:rFonts w:ascii="Times New Roman" w:hAnsi="Times New Roman" w:cs="Times New Roman"/>
          <w:sz w:val="28"/>
          <w:szCs w:val="28"/>
        </w:rPr>
      </w:pPr>
    </w:p>
    <w:p w:rsidR="003968B1" w:rsidRDefault="003968B1">
      <w:pPr>
        <w:widowControl w:val="0"/>
        <w:autoSpaceDE w:val="0"/>
        <w:autoSpaceDN w:val="0"/>
        <w:adjustRightInd w:val="0"/>
        <w:spacing w:after="0" w:line="240" w:lineRule="auto"/>
        <w:rPr>
          <w:rFonts w:ascii="Times New Roman" w:hAnsi="Times New Roman" w:cs="Times New Roman"/>
          <w:sz w:val="28"/>
          <w:szCs w:val="28"/>
        </w:rPr>
      </w:pPr>
    </w:p>
    <w:p w:rsidR="003968B1" w:rsidRDefault="003968B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Transnational Feminism and The Struggle for Global Justice</w:t>
      </w: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Johanna Brenner  -   New Politics, vol. 9, no. 2,  # 34, Winter 2003</w:t>
      </w:r>
    </w:p>
    <w:p w:rsidR="003968B1" w:rsidRDefault="003968B1">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Coordinator Women's Studies Portland State University at Portland, Oregon</w:t>
      </w:r>
    </w:p>
    <w:p w:rsidR="003968B1" w:rsidRDefault="003968B1">
      <w:pPr>
        <w:widowControl w:val="0"/>
        <w:autoSpaceDE w:val="0"/>
        <w:autoSpaceDN w:val="0"/>
        <w:adjustRightInd w:val="0"/>
        <w:spacing w:after="0" w:line="240" w:lineRule="auto"/>
        <w:rPr>
          <w:rFonts w:ascii="Times New Roman" w:hAnsi="Times New Roman" w:cs="Times New Roman"/>
          <w:sz w:val="24"/>
          <w:szCs w:val="24"/>
        </w:rPr>
      </w:pP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Key institutions of the neo-liberal order, pre-eminently the World Bank but also First World government agencies such as USAID, proclaim their support for modernization and democratization. Offering resources for women's economic development efforts, social services, and health care organizations, the managers of the new world economic order present themselves as allies of liberal feminism.</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lastRenderedPageBreak/>
        <w:tab/>
        <w:t>Central feminist aspirations -- full political citizenship, equal access to education and occupational opportunity, and an end to the culturally and legally authorized right of men to control women's bodies, sexuality, and reproductive potential -- are fully compatible with neo-liberalism.   . . .</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 . .   A neo-liberal economic order will never usher in gender equality.</w:t>
      </w:r>
    </w:p>
    <w:p w:rsidR="003968B1" w:rsidRDefault="003968B1">
      <w:pPr>
        <w:widowControl w:val="0"/>
        <w:autoSpaceDE w:val="0"/>
        <w:autoSpaceDN w:val="0"/>
        <w:adjustRightInd w:val="0"/>
        <w:spacing w:after="0" w:line="240" w:lineRule="auto"/>
        <w:rPr>
          <w:rFonts w:ascii="Times New Roman" w:hAnsi="Times New Roman" w:cs="Times New Roman"/>
          <w:sz w:val="24"/>
          <w:szCs w:val="24"/>
        </w:rPr>
      </w:pPr>
    </w:p>
    <w:p w:rsidR="003968B1" w:rsidRDefault="003968B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http://www.wpunj.edu/newpol/issue34/brenne34.htm</w:t>
      </w:r>
    </w:p>
    <w:p w:rsidR="003968B1" w:rsidRDefault="003968B1">
      <w:pPr>
        <w:widowControl w:val="0"/>
        <w:autoSpaceDE w:val="0"/>
        <w:autoSpaceDN w:val="0"/>
        <w:adjustRightInd w:val="0"/>
        <w:spacing w:after="0" w:line="240" w:lineRule="auto"/>
        <w:rPr>
          <w:rFonts w:ascii="Times New Roman" w:hAnsi="Times New Roman" w:cs="Times New Roman"/>
          <w:sz w:val="24"/>
          <w:szCs w:val="24"/>
        </w:rPr>
      </w:pPr>
    </w:p>
    <w:p w:rsidR="003968B1" w:rsidRDefault="003968B1">
      <w:pPr>
        <w:widowControl w:val="0"/>
        <w:autoSpaceDE w:val="0"/>
        <w:autoSpaceDN w:val="0"/>
        <w:adjustRightInd w:val="0"/>
        <w:spacing w:after="0" w:line="240" w:lineRule="auto"/>
        <w:rPr>
          <w:rFonts w:ascii="Times New Roman" w:hAnsi="Times New Roman" w:cs="Times New Roman"/>
          <w:sz w:val="24"/>
          <w:szCs w:val="24"/>
        </w:rPr>
      </w:pPr>
    </w:p>
    <w:p w:rsidR="003968B1" w:rsidRDefault="003968B1">
      <w:pPr>
        <w:widowControl w:val="0"/>
        <w:autoSpaceDE w:val="0"/>
        <w:autoSpaceDN w:val="0"/>
        <w:adjustRightInd w:val="0"/>
        <w:spacing w:after="0" w:line="240" w:lineRule="auto"/>
        <w:rPr>
          <w:rFonts w:ascii="Times New Roman" w:hAnsi="Times New Roman" w:cs="Times New Roman"/>
          <w:sz w:val="24"/>
          <w:szCs w:val="24"/>
        </w:rPr>
      </w:pPr>
    </w:p>
    <w:p w:rsidR="003968B1" w:rsidRDefault="003968B1">
      <w:pPr>
        <w:widowControl w:val="0"/>
        <w:autoSpaceDE w:val="0"/>
        <w:autoSpaceDN w:val="0"/>
        <w:adjustRightInd w:val="0"/>
        <w:spacing w:after="0" w:line="240" w:lineRule="auto"/>
        <w:rPr>
          <w:rFonts w:ascii="Times New Roman" w:hAnsi="Times New Roman" w:cs="Times New Roman"/>
          <w:sz w:val="24"/>
          <w:szCs w:val="24"/>
        </w:rPr>
      </w:pPr>
    </w:p>
    <w:p w:rsidR="003968B1" w:rsidRDefault="003968B1">
      <w:pPr>
        <w:widowControl w:val="0"/>
        <w:autoSpaceDE w:val="0"/>
        <w:autoSpaceDN w:val="0"/>
        <w:adjustRightInd w:val="0"/>
        <w:spacing w:after="0" w:line="240" w:lineRule="auto"/>
        <w:rPr>
          <w:rFonts w:ascii="Times New Roman" w:hAnsi="Times New Roman" w:cs="Times New Roman"/>
          <w:sz w:val="24"/>
          <w:szCs w:val="24"/>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r>
      <w:r>
        <w:rPr>
          <w:rFonts w:ascii="Times New Roman" w:hAnsi="Times New Roman" w:cs="Times New Roman"/>
          <w:sz w:val="28"/>
          <w:szCs w:val="28"/>
        </w:rPr>
        <w:t>In Praise of Empires</w:t>
      </w:r>
    </w:p>
    <w:p w:rsidR="003968B1" w:rsidRDefault="003968B1">
      <w:pPr>
        <w:widowControl w:val="0"/>
        <w:autoSpaceDE w:val="0"/>
        <w:autoSpaceDN w:val="0"/>
        <w:adjustRightInd w:val="0"/>
        <w:spacing w:after="0" w:line="240" w:lineRule="auto"/>
        <w:rPr>
          <w:rFonts w:ascii="Arial" w:hAnsi="Arial" w:cs="Arial"/>
          <w:sz w:val="12"/>
          <w:szCs w:val="12"/>
        </w:rPr>
      </w:pPr>
    </w:p>
    <w:p w:rsidR="003968B1" w:rsidRDefault="003968B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xml:space="preserve">Author: Deepak Lal </w:t>
      </w:r>
      <w:r w:rsidRPr="007F1373">
        <w:rPr>
          <w:rStyle w:val="FootnoteReference"/>
        </w:rPr>
        <w:footnoteReference w:id="1"/>
      </w:r>
    </w:p>
    <w:p w:rsidR="003968B1" w:rsidRDefault="003968B1">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Lal believes empires are special -- and good. Specifically, they maintain peace and promote prosperity -- better, Lal argues, than any other system -- and much of the book is an historic overview of empires and their successes    . . .     Especially impressive: the British Empire, creating "the first truly global economic space (.....) the first truly liberal international economic order" (whereby Lal emphasises he mean 'liberal' in the original sense of the word, not the perverted current American usage).   . . .</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ab/>
      </w: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Lal has little use for multinational organisations (or, indeed, multilateralism in any shape or form). The United Nations? "It is of little use and in a rational world would be wound up." The World Bank and IMF? They've outlived their usefulness: wind 'em up.    . . .   The specialized UN agencies (from the World Health Organization and Food and Agriculture Organization to UNESCO)? "It is time to shut them down."   . . .</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better way he sees is to have the US play the part of the imperial power -- play it as he thinks it should be played, that is.   . . .</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After World War I US policy    . . .    Lal believes    . . .   "led to the two greatest threats to the classical liberal order created by Britain: Fascism and Communism." Woodrow Wilson, in particular, has a lot to answer for -- so Lal.    . . .</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Lal thinks the US should flex its imperial muscle: forget the pressure groups, forget the international community.</w:t>
      </w:r>
    </w:p>
    <w:p w:rsidR="003968B1" w:rsidRDefault="003968B1">
      <w:pPr>
        <w:widowControl w:val="0"/>
        <w:autoSpaceDE w:val="0"/>
        <w:autoSpaceDN w:val="0"/>
        <w:adjustRightInd w:val="0"/>
        <w:spacing w:after="0" w:line="240" w:lineRule="auto"/>
        <w:rPr>
          <w:rFonts w:ascii="Arial" w:hAnsi="Arial" w:cs="Arial"/>
          <w:sz w:val="12"/>
          <w:szCs w:val="12"/>
        </w:rPr>
      </w:pPr>
    </w:p>
    <w:p w:rsidR="003968B1" w:rsidRDefault="003968B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http://www.complete-review.com/reviews/ghistory/lald.htm</w:t>
      </w:r>
    </w:p>
    <w:p w:rsidR="003968B1" w:rsidRDefault="003968B1">
      <w:pPr>
        <w:widowControl w:val="0"/>
        <w:autoSpaceDE w:val="0"/>
        <w:autoSpaceDN w:val="0"/>
        <w:adjustRightInd w:val="0"/>
        <w:spacing w:after="0" w:line="240" w:lineRule="auto"/>
        <w:rPr>
          <w:rFonts w:ascii="Times New Roman" w:hAnsi="Times New Roman" w:cs="Times New Roman"/>
          <w:sz w:val="24"/>
          <w:szCs w:val="24"/>
        </w:rPr>
      </w:pPr>
    </w:p>
    <w:p w:rsidR="003968B1" w:rsidRDefault="003968B1">
      <w:pPr>
        <w:widowControl w:val="0"/>
        <w:autoSpaceDE w:val="0"/>
        <w:autoSpaceDN w:val="0"/>
        <w:adjustRightInd w:val="0"/>
        <w:spacing w:after="0" w:line="240" w:lineRule="auto"/>
        <w:rPr>
          <w:rFonts w:ascii="Times New Roman" w:hAnsi="Times New Roman" w:cs="Times New Roman"/>
          <w:sz w:val="24"/>
          <w:szCs w:val="24"/>
        </w:rPr>
      </w:pPr>
    </w:p>
    <w:p w:rsidR="003968B1" w:rsidRDefault="003968B1">
      <w:pPr>
        <w:widowControl w:val="0"/>
        <w:autoSpaceDE w:val="0"/>
        <w:autoSpaceDN w:val="0"/>
        <w:adjustRightInd w:val="0"/>
        <w:spacing w:after="0" w:line="240" w:lineRule="auto"/>
        <w:rPr>
          <w:rFonts w:ascii="Times New Roman" w:hAnsi="Times New Roman" w:cs="Times New Roman"/>
          <w:sz w:val="24"/>
          <w:szCs w:val="24"/>
        </w:rPr>
      </w:pPr>
    </w:p>
    <w:p w:rsidR="003968B1" w:rsidRDefault="003968B1">
      <w:pPr>
        <w:widowControl w:val="0"/>
        <w:autoSpaceDE w:val="0"/>
        <w:autoSpaceDN w:val="0"/>
        <w:adjustRightInd w:val="0"/>
        <w:spacing w:after="0" w:line="240" w:lineRule="auto"/>
        <w:rPr>
          <w:rFonts w:ascii="Times New Roman" w:hAnsi="Times New Roman" w:cs="Times New Roman"/>
          <w:sz w:val="24"/>
          <w:szCs w:val="24"/>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Lack of strategy 'threatens UK national interest'</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 lack of strategic thinking by the government is threatening the UK's national interest, [Public Administration Select Committee] MPs have said. The cross-party public administration committee suggested a tendency for Whitehall to "muddle through". It also said the Iraq and Afghanistan wars were examples where there had been a lack of over-arching strategy.   . . .</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committee's report also calls for the remit of the national security council and national security adviser Sir Peter Ricketts to be expanded, to include a central co-ordinating role on national strategy.</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Its report also warned that the UK's capacity to think strategically had been undermined by assumptions that its national interests are best served by its relationship with the US and economic links within the European Union.</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"Uncritical acceptance of these assumptions has led to a waning of our interests in, and ability to make, national strategy," said the committee. "Recent events such as 9/11, climate change and the banking crisis are making us think differently about the world, but require us to find the means by which we can anticipate and understand these challenges and devise an appropriate response to them. Under this government there is a proper mechanism for the bringing together of strategic decisions about our security, defence, diplomacy and development, after years of ad-hoc thinking and poor decision-making”     . . .</w:t>
      </w:r>
    </w:p>
    <w:p w:rsidR="003968B1" w:rsidRDefault="003968B1">
      <w:pPr>
        <w:widowControl w:val="0"/>
        <w:autoSpaceDE w:val="0"/>
        <w:autoSpaceDN w:val="0"/>
        <w:adjustRightInd w:val="0"/>
        <w:spacing w:after="0" w:line="240" w:lineRule="auto"/>
        <w:rPr>
          <w:rFonts w:ascii="Arial" w:hAnsi="Arial" w:cs="Arial"/>
          <w:sz w:val="12"/>
          <w:szCs w:val="12"/>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http://www.bbc.co.uk/news/uk-11563213</w:t>
      </w: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UK policies lack strategic thinking, MPs warn</w:t>
      </w:r>
    </w:p>
    <w:p w:rsidR="003968B1" w:rsidRDefault="003968B1">
      <w:pPr>
        <w:widowControl w:val="0"/>
        <w:autoSpaceDE w:val="0"/>
        <w:autoSpaceDN w:val="0"/>
        <w:adjustRightInd w:val="0"/>
        <w:spacing w:after="0" w:line="240" w:lineRule="auto"/>
        <w:rPr>
          <w:rFonts w:ascii="Arial" w:hAnsi="Arial" w:cs="Arial"/>
          <w:sz w:val="28"/>
          <w:szCs w:val="28"/>
        </w:rPr>
      </w:pPr>
      <w:r>
        <w:rPr>
          <w:rFonts w:ascii="Arial" w:hAnsi="Arial" w:cs="Arial"/>
          <w:sz w:val="20"/>
          <w:szCs w:val="20"/>
        </w:rPr>
        <w:t>IRNA  -  18 Oct. 2010</w:t>
      </w:r>
    </w:p>
    <w:p w:rsidR="003968B1" w:rsidRDefault="003968B1">
      <w:pPr>
        <w:widowControl w:val="0"/>
        <w:autoSpaceDE w:val="0"/>
        <w:autoSpaceDN w:val="0"/>
        <w:adjustRightInd w:val="0"/>
        <w:spacing w:after="0" w:line="240" w:lineRule="auto"/>
        <w:rPr>
          <w:rFonts w:ascii="Arial" w:hAnsi="Arial" w:cs="Arial"/>
          <w:sz w:val="28"/>
          <w:szCs w:val="28"/>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its report, the PASC questioned how far the government’s Strategic Defence and Security Review can actually be strategic and called for the creation of a ‘community of strategic thinkers’ across all departments to provide capacity for ministers.</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“We welcome the new government’s aspiration to think more strategically, but when we tried to find out who actually does UK National Strategy, virtually all the evidence we took suggests the answer is ‘no one’,” Jenkin said. “To secure the safety and prosperity of the UK, it is critical that the Government relearn the lost art of national strategy   . . . ”</w:t>
      </w:r>
    </w:p>
    <w:p w:rsidR="003968B1" w:rsidRDefault="003968B1">
      <w:pPr>
        <w:widowControl w:val="0"/>
        <w:autoSpaceDE w:val="0"/>
        <w:autoSpaceDN w:val="0"/>
        <w:adjustRightInd w:val="0"/>
        <w:spacing w:after="0" w:line="240" w:lineRule="auto"/>
        <w:rPr>
          <w:rFonts w:ascii="Arial" w:hAnsi="Arial" w:cs="Arial"/>
          <w:sz w:val="12"/>
          <w:szCs w:val="12"/>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http://twocircles.net/2010oct18/uk_policies_lack_strategic_thinking_mps_warn.html</w:t>
      </w: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Britain in Search of a Grand Strategy</w:t>
      </w:r>
    </w:p>
    <w:p w:rsidR="003968B1" w:rsidRDefault="003968B1">
      <w:pPr>
        <w:widowControl w:val="0"/>
        <w:autoSpaceDE w:val="0"/>
        <w:autoSpaceDN w:val="0"/>
        <w:adjustRightInd w:val="0"/>
        <w:spacing w:after="0" w:line="240" w:lineRule="auto"/>
        <w:rPr>
          <w:rFonts w:ascii="Arial" w:hAnsi="Arial" w:cs="Arial"/>
          <w:sz w:val="28"/>
          <w:szCs w:val="28"/>
        </w:rPr>
      </w:pPr>
      <w:r>
        <w:rPr>
          <w:rFonts w:ascii="Arial" w:hAnsi="Arial" w:cs="Arial"/>
          <w:sz w:val="20"/>
          <w:szCs w:val="20"/>
        </w:rPr>
        <w:t xml:space="preserve">Oct. 1st, 2010 </w:t>
      </w:r>
    </w:p>
    <w:p w:rsidR="003968B1" w:rsidRDefault="003968B1">
      <w:pPr>
        <w:widowControl w:val="0"/>
        <w:autoSpaceDE w:val="0"/>
        <w:autoSpaceDN w:val="0"/>
        <w:adjustRightInd w:val="0"/>
        <w:spacing w:after="0" w:line="240" w:lineRule="auto"/>
        <w:rPr>
          <w:rFonts w:ascii="Arial" w:hAnsi="Arial" w:cs="Arial"/>
          <w:sz w:val="28"/>
          <w:szCs w:val="28"/>
        </w:rPr>
      </w:pPr>
    </w:p>
    <w:p w:rsidR="003968B1" w:rsidRDefault="003968B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In reference to the second doc, Q215 Chair: Grand strategy is far more important to small or medium states than to a hegemon or an empire because their margin for error or waste is much smaller. The United States government can afford, relatively speaking, to gratuitously waste geopolitical opportunities (at least for a time) which it has been doing with gusto since 1991. Singapore, by contrast, cannot waste any of it’s chances if it wishes to remain prosperous and free. Britain needs a grand strategy if it’s leaders value and seek to pass on to posterity a British identity. The same can be said over here for America and some of the visceral anger inherent in the Tea Party arguably seems to come from their realization that American elites do not place too much importance on an American identity or sovereignty.   . . .</w:t>
      </w:r>
    </w:p>
    <w:p w:rsidR="003968B1" w:rsidRDefault="003968B1">
      <w:pPr>
        <w:widowControl w:val="0"/>
        <w:autoSpaceDE w:val="0"/>
        <w:autoSpaceDN w:val="0"/>
        <w:adjustRightInd w:val="0"/>
        <w:spacing w:after="0" w:line="240" w:lineRule="auto"/>
        <w:rPr>
          <w:rFonts w:ascii="Times New Roman" w:hAnsi="Times New Roman" w:cs="Times New Roman"/>
          <w:sz w:val="12"/>
          <w:szCs w:val="12"/>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http://zenpundit.com/?cat=48</w:t>
      </w: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Paul Flynn MP: Yes we should pull out... nothing will ever change</w:t>
      </w: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Paul Flynn   -  The Independent  -  7 Nov. 2009</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Gordon Brown is pulling on rubber levers. Nothing will change. Corruption has been the lubricant of Afghan political and business life for centuries.    . . .</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230 British lives have been sacrificed in Afghanistan to the vanity and cowardice of politicians who will not admit their mistakes. All plots against UK targets were hatched in Britain or in Pakistan; none in Afghanistan or by the Taliban.</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The Taliban are killing our soldiers   . . .  as their sacred duty   . . .    Gordon Brown again avoids the truth by conflating the Taliban with al-Qai'da and Afghanistan with Pakistan.    . . .</w:t>
      </w:r>
    </w:p>
    <w:p w:rsidR="003968B1" w:rsidRDefault="003968B1">
      <w:pPr>
        <w:widowControl w:val="0"/>
        <w:autoSpaceDE w:val="0"/>
        <w:autoSpaceDN w:val="0"/>
        <w:adjustRightInd w:val="0"/>
        <w:spacing w:after="0" w:line="240" w:lineRule="auto"/>
        <w:rPr>
          <w:rFonts w:ascii="Arial" w:hAnsi="Arial" w:cs="Arial"/>
          <w:sz w:val="12"/>
          <w:szCs w:val="12"/>
        </w:rPr>
      </w:pPr>
    </w:p>
    <w:p w:rsidR="003968B1" w:rsidRDefault="003968B1">
      <w:pPr>
        <w:widowControl w:val="0"/>
        <w:autoSpaceDE w:val="0"/>
        <w:autoSpaceDN w:val="0"/>
        <w:adjustRightInd w:val="0"/>
        <w:spacing w:after="0" w:line="240" w:lineRule="auto"/>
        <w:rPr>
          <w:rFonts w:ascii="Arial" w:hAnsi="Arial" w:cs="Arial"/>
          <w:sz w:val="12"/>
          <w:szCs w:val="12"/>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British strategy now relies on the corrupt, depraved and murderous Afghan police.    . . . The election-rigging President depends on warlord allies who have committed hideous atrocities.</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have been shouldering an unequal military burden.   . . .</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---http://www.independent.co.uk/opinion/commentators/paul-flynn-mp-yes-we-should-pull-out-nothing-will-ever-change-1816558.html</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Recovery of what? We need a new way of assessing growth</w:t>
      </w: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William Davies, Institute for Science Innovation and Society, Young Foundation  -  21 May 2010</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British economy is officially, technically growing. Growth figures in the region of 0.2% confirm that it is out of recession. But what does this even mean?</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months and months, in which funny money was flowing off the printing presses of its central bank and its formerly neo-liberal state came to represent more than 50% of GDP, we can be forgiven for viewing such statistics as a hall of mirrors.</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Since September 2008, the UK government’s priority has been to perform one almighty Keynesian PR job. It’s single ambition has been to convince enough investors not to abandon the banking system altogether, no matter how opaque that system might have become.    . . .</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the face of it, and somewhat surreally, major economies are still dominated by all the identical actors – the same government agencies, same banks, same credit rating agencies, same experts. What has changed is not the structure of economic institutions at all, but the credibility of each of their component parts.</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Every valuation is now tempered by a deep-lying doubt. Not the doubt of Rene Descartes that might be resolved through reason, but that of Friedrich Nietzsche, which questions the possibility of ever telling fact from fiction.     . . .</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Growth in GDP is our instinctive answer, but this represents historical short-sightedness. GDP is a statistic that only dates back to the 1940s, and became a proxi for economic development somewhat by accident. There is nothing permanent about it. Work by Tim Jackson for the UK’s Sustainable Development Commission suggests that it might even be in our interests not to carry on growing it.    . . .</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Sociologists (such as Robert Putnam), philosophers (such as Amartya Sen) and psychologists (such as Daniel Kahneman)   . . .   ask profound questions about what and how to measure    . . .    Think tanks such as The New Economics Foundation in the UK   . . .   have been pushing alternative evaluative frameworks for years    . . . </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xml:space="preserve">. . .   Until we find a way of breaking our addiction to macroeconomic growth, stagnation will mean unemployment.    . . .     Let us gauge our society in terms of its capacity to house people     . . . </w:t>
      </w:r>
    </w:p>
    <w:p w:rsidR="003968B1" w:rsidRDefault="003968B1">
      <w:pPr>
        <w:widowControl w:val="0"/>
        <w:autoSpaceDE w:val="0"/>
        <w:autoSpaceDN w:val="0"/>
        <w:adjustRightInd w:val="0"/>
        <w:spacing w:after="0" w:line="240" w:lineRule="auto"/>
        <w:rPr>
          <w:rFonts w:ascii="Arial" w:hAnsi="Arial" w:cs="Arial"/>
          <w:sz w:val="12"/>
          <w:szCs w:val="12"/>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http://www.opendemocracy.net/ourkingdom/william-davies/recovery-of-what</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Free trade vs. state aid</w:t>
      </w: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Christian Science Monitor  -  The Adam Smith Institute UK</w:t>
      </w: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Tom Clougherty  -  Oct. 8, 2010</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This morning I spoke at the opening session of The Freedom Association’s ‘Freedom Zone’, a libertarian mini-conference at the Conservative Party Conference in Birmingham. The subject was “Free Trade NOT State Aid”. I was speaking last on a panel of six (the other speakers were John Redwood MP, the Cobden Centre’s Toby Baxendale, and the excellent new parliamentarians Steve Baker, Robert Halfon, and Sajid Javid)   . . .</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Every country in the world that has ever become rich has done it through trade. No country has ever become rich through aid. Of course, that’s not to say that half a trillion in aid has done nothing for sub-Saharan Africa – on the contrary, we’ve sustained corrupt, tyrannical governments in power by insulating them from their voters, while also crowding out private sector development.    . . .   James Tooley has shown, better, smaller, cheaper private schools have been pushed out of the market by big state ‘comprehensives’ and fewer Africans have ended up in education as a result.    . . .</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---http://www.csmonitor.com/Business/The-Adam-Smith-Institute-Blog/2010/1008/Free-trade-vs.-state-aid</w:t>
      </w:r>
    </w:p>
    <w:p w:rsidR="003968B1" w:rsidRDefault="003968B1">
      <w:pPr>
        <w:widowControl w:val="0"/>
        <w:autoSpaceDE w:val="0"/>
        <w:autoSpaceDN w:val="0"/>
        <w:adjustRightInd w:val="0"/>
        <w:spacing w:after="0" w:line="240" w:lineRule="auto"/>
        <w:rPr>
          <w:rFonts w:ascii="Times New Roman" w:hAnsi="Times New Roman" w:cs="Times New Roman"/>
          <w:sz w:val="24"/>
          <w:szCs w:val="24"/>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Former British MP Tonge: Probe claims of IDF organ theft in Haiti</w:t>
      </w: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Ynet  -  Yitzhak Benhorin  -  Feb. 12, 2010</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Baroness Jenny Tonge, a former Liberal Democrat member of the British parliament, said this week that Israel should set up an inquiry to disprove allegations that its medical teams in Haiti “harvested” organs of earthquake victims for use in transplants, The Jewish Chronicle (JC) reported Thursday. According to the report, the organ theft claims were published last week in the Palestine Telegraph, an online journal based in Gaza of which Baroness Tonge is a patron.    . . .</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The allegations came in an article titled Focus on Israel: Harvesting Haitian Organs by an American researcher, Stephen Lendman, who accused Israel of a “crime against humanity”. Lendman referred to a    . . .   video uploaded by an American    . . .  who calls himself T. West, [who] fronts a group called AfriSynergy Productions   . . .   The video   . . . recycle[s] false claims that IDF soldiers engage in organ trafficking.</w:t>
      </w:r>
    </w:p>
    <w:p w:rsidR="003968B1" w:rsidRDefault="003968B1">
      <w:pPr>
        <w:widowControl w:val="0"/>
        <w:autoSpaceDE w:val="0"/>
        <w:autoSpaceDN w:val="0"/>
        <w:adjustRightInd w:val="0"/>
        <w:spacing w:after="0" w:line="240" w:lineRule="auto"/>
        <w:rPr>
          <w:rFonts w:ascii="Arial" w:hAnsi="Arial" w:cs="Arial"/>
          <w:sz w:val="12"/>
          <w:szCs w:val="12"/>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http://www.ynetnews.com/articles/0,7340,L-3848105,00.html</w:t>
      </w: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4"/>
          <w:szCs w:val="24"/>
        </w:rPr>
      </w:pPr>
    </w:p>
    <w:p w:rsidR="003968B1" w:rsidRDefault="003968B1">
      <w:pPr>
        <w:widowControl w:val="0"/>
        <w:autoSpaceDE w:val="0"/>
        <w:autoSpaceDN w:val="0"/>
        <w:adjustRightInd w:val="0"/>
        <w:spacing w:after="0" w:line="240" w:lineRule="auto"/>
        <w:rPr>
          <w:rFonts w:ascii="Times New Roman" w:hAnsi="Times New Roman" w:cs="Times New Roman"/>
          <w:sz w:val="28"/>
          <w:szCs w:val="28"/>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Why are there so many journalists in Haiti?</w:t>
      </w:r>
    </w:p>
    <w:p w:rsidR="003968B1" w:rsidRDefault="003968B1">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Alistair Burt MP   -   January 16, 2010</w:t>
      </w:r>
    </w:p>
    <w:p w:rsidR="003968B1" w:rsidRDefault="003968B1">
      <w:pPr>
        <w:widowControl w:val="0"/>
        <w:autoSpaceDE w:val="0"/>
        <w:autoSpaceDN w:val="0"/>
        <w:adjustRightInd w:val="0"/>
        <w:spacing w:after="0" w:line="240" w:lineRule="auto"/>
        <w:rPr>
          <w:rFonts w:ascii="Arial" w:hAnsi="Arial" w:cs="Arial"/>
          <w:sz w:val="14"/>
          <w:szCs w:val="14"/>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plight of Haiti is graphically portrayed in our papers and on TV. It is right that we know what is going on and the scale of the disaster so both governments and people respond generously and appropriately.</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But do all the journalists from so many national and international outlets need to be there? The strain on resources can be imagined. Would it not be better if in the immediate aftermath there was a pooled agency arrangement so that the world got the messages and images needed with as little intrusion as possible on the desperate relief work?</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---http://conservativehome.blogs.com/centreright/2010/01/why-are-there-so-many-journalists-in-haiti.html</w:t>
      </w: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New Imperialism: Violence, Norms, and the "Rule of Law"</w:t>
      </w: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Rosa Ehrenreich Brooks, Georgetown University Law Center</w:t>
      </w: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Michigan Law Review, June 2003, Vol. 101, No. 7</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are many situations in which it is justifiable and beneficial for the U.S. and other actors to seek to promote human rights and the rule of law abroad, and that at times even military interventions are a necessary and justifiable part of this effort.</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These are controversial statements    . . .   There is indeed a problem with how we go about promoting human rights and the rule of law.    . . .   At times "the law" in its formal sense is of peripheral importance at best. Although we imagine that the trappings of formal law are central to creating order and reducing violence, there is little evidence that this is so.    . . .</w:t>
      </w:r>
    </w:p>
    <w:p w:rsidR="003968B1" w:rsidRDefault="003968B1">
      <w:pPr>
        <w:widowControl w:val="0"/>
        <w:autoSpaceDE w:val="0"/>
        <w:autoSpaceDN w:val="0"/>
        <w:adjustRightInd w:val="0"/>
        <w:spacing w:after="0" w:line="240" w:lineRule="auto"/>
        <w:rPr>
          <w:rFonts w:ascii="Arial" w:hAnsi="Arial" w:cs="Arial"/>
          <w:sz w:val="12"/>
          <w:szCs w:val="12"/>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http://scholarship.law.georgetown.edu/facpub/48/</w:t>
      </w: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new imperialism: violence, norms, and the "rule of law"</w:t>
      </w: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Michigan Law Review   -   1 June, 2003</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an increasing number of places, promoting the rule of law has become a fundamentally imperialist enterprise, in which foreign administrators backed by large armies govern societies that have been pronounced unready to take on the task of governing themselves.   . . .</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In Russia, more than a decade after a massive infusion of foreign aid began, there have been few rule of law success stories. Organized crime continues to play an enormous role in the economy    . . .</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In Kosovo, four years after a massive NATO bombing campaign, things are little better, despite the fact that the international community literally took over the province's administration.    . . .    Roughly one foreigner for every thirty-six Kosovars, a ratio of foreign       . . .    In Latin America, many commentators have concluded that the earlier era of rule-of-law promotion programs have had little lasting impact.    . . .   </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In a sense, citizens of Kosovo, Afghanistan, Iraq, and the like must put up with some of the worst aspects of imperialism (culturally insensitive occupying armies that drive up prices, distort local economies, and push through ham-handed "reforms") with few of imperialism's benefits, such as they were; the new imperialists lack the capacity or the will to stamp out crime, pick up the trash, or make the trains run on time.     . . .</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very concept of the rule of law is rarely examined or understood by key U.S. and international decisionmakers, although "promoting the rule of law" has become a mantra for many    . . .      In practice, rule-of-law promotion efforts continue to focus on establishing the formal dimensions of the rule of law, assuming with little evidence that this will lead reliably and predictably to the emergence of a robust societal commitment to the more substantive aspects of the rule of law.   . . .</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What this type of formalistic approach fails fully to recognize or acknowledge is that creating the rule of law is most fundamentally an issue of norm creation. The rule of law is not something that exists "beyond culture"    . . .   yet the human-rights-law and foreign-policy communities know very little   . . .   about the complex processes by which cultures are   . . . changed.    . . .</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We have failed to    . . .  even ask    . . .   what role (if any) law can play in such cultural change, whether law has any necessary correlation with order and violence    . . .  </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Legal scholars who focused on domestic legal issues dismissed international law as "not really law," but something else: unenforceable moral directive, for instance    . . .  that international law is really a matter of social norms, not law.     . . .</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Many international-law experts are hailing a new age of international law, one in which international law is increasingly interpreted by judicial and quasi-judicial bodies whose decisions are increasingly backed by substantial coercive powers    . . .  Some international legal scholars are insisting triumphantly that international law has moved beyond "mere" norms.</w:t>
      </w:r>
    </w:p>
    <w:p w:rsidR="003968B1" w:rsidRDefault="003968B1">
      <w:pPr>
        <w:widowControl w:val="0"/>
        <w:autoSpaceDE w:val="0"/>
        <w:autoSpaceDN w:val="0"/>
        <w:adjustRightInd w:val="0"/>
        <w:spacing w:after="0" w:line="240" w:lineRule="auto"/>
        <w:rPr>
          <w:rFonts w:ascii="Times New Roman" w:hAnsi="Times New Roman" w:cs="Times New Roman"/>
          <w:sz w:val="16"/>
          <w:szCs w:val="16"/>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xml:space="preserve">  --- http://goliath.ecnext.com/coms2/gi_0199-743688/The-new-imperialism-violence-norms.html</w:t>
      </w:r>
    </w:p>
    <w:p w:rsidR="003968B1" w:rsidRDefault="003968B1">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ab/>
        <w:t xml:space="preserve">  --- http://www.highbeam.com/doc/1G1-113804540.html</w:t>
      </w:r>
    </w:p>
    <w:p w:rsidR="003968B1" w:rsidRDefault="003968B1">
      <w:pPr>
        <w:widowControl w:val="0"/>
        <w:autoSpaceDE w:val="0"/>
        <w:autoSpaceDN w:val="0"/>
        <w:adjustRightInd w:val="0"/>
        <w:spacing w:after="0" w:line="240" w:lineRule="auto"/>
        <w:rPr>
          <w:rFonts w:ascii="Times New Roman" w:hAnsi="Times New Roman" w:cs="Times New Roman"/>
          <w:sz w:val="12"/>
          <w:szCs w:val="12"/>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Public Administration Select Committee is a Select Committee appointed by the British House of Commons to examine the reports of the Parliamentary and Health Service Ombudsman and to consider matters relating to the quality and standards of administration provided by civil service departments, and other matters relating to the civil service. The Committee chooses its own subjects of inquiry, within its overall terms of reference.</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As of 26 July 2010, the members of the committee are as follows:</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b/>
          <w:bCs/>
          <w:sz w:val="8"/>
          <w:szCs w:val="8"/>
        </w:rPr>
      </w:pPr>
      <w:r>
        <w:rPr>
          <w:rFonts w:ascii="Arial" w:hAnsi="Arial" w:cs="Arial"/>
          <w:sz w:val="20"/>
          <w:szCs w:val="20"/>
        </w:rPr>
        <w:tab/>
        <w:t xml:space="preserve"> </w:t>
      </w:r>
      <w:r>
        <w:rPr>
          <w:rFonts w:ascii="Arial" w:hAnsi="Arial" w:cs="Arial"/>
          <w:b/>
          <w:bCs/>
          <w:sz w:val="20"/>
          <w:szCs w:val="20"/>
        </w:rPr>
        <w:t xml:space="preserve">Member </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t xml:space="preserve">Party </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t>Constituency</w:t>
      </w:r>
    </w:p>
    <w:p w:rsidR="003968B1" w:rsidRDefault="003968B1">
      <w:pPr>
        <w:widowControl w:val="0"/>
        <w:autoSpaceDE w:val="0"/>
        <w:autoSpaceDN w:val="0"/>
        <w:adjustRightInd w:val="0"/>
        <w:spacing w:after="0" w:line="240" w:lineRule="auto"/>
        <w:rPr>
          <w:rFonts w:ascii="Arial" w:hAnsi="Arial" w:cs="Arial"/>
          <w:b/>
          <w:bCs/>
          <w:sz w:val="8"/>
          <w:szCs w:val="8"/>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Bernard Jenkin MP (Chair) </w:t>
      </w:r>
      <w:r>
        <w:rPr>
          <w:rFonts w:ascii="Arial" w:hAnsi="Arial" w:cs="Arial"/>
          <w:sz w:val="20"/>
          <w:szCs w:val="20"/>
        </w:rPr>
        <w:tab/>
        <w:t xml:space="preserve">Conservative </w:t>
      </w:r>
      <w:r>
        <w:rPr>
          <w:rFonts w:ascii="Arial" w:hAnsi="Arial" w:cs="Arial"/>
          <w:sz w:val="20"/>
          <w:szCs w:val="20"/>
        </w:rPr>
        <w:tab/>
      </w:r>
      <w:r>
        <w:rPr>
          <w:rFonts w:ascii="Arial" w:hAnsi="Arial" w:cs="Arial"/>
          <w:sz w:val="20"/>
          <w:szCs w:val="20"/>
        </w:rPr>
        <w:tab/>
        <w:t>Harwich and North Essex</w:t>
      </w: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Kevin Brennan MP </w:t>
      </w:r>
      <w:r>
        <w:rPr>
          <w:rFonts w:ascii="Arial" w:hAnsi="Arial" w:cs="Arial"/>
          <w:sz w:val="20"/>
          <w:szCs w:val="20"/>
        </w:rPr>
        <w:tab/>
      </w:r>
      <w:r>
        <w:rPr>
          <w:rFonts w:ascii="Arial" w:hAnsi="Arial" w:cs="Arial"/>
          <w:sz w:val="20"/>
          <w:szCs w:val="20"/>
        </w:rPr>
        <w:tab/>
        <w:t xml:space="preserve">Labour </w:t>
      </w:r>
      <w:r>
        <w:rPr>
          <w:rFonts w:ascii="Arial" w:hAnsi="Arial" w:cs="Arial"/>
          <w:sz w:val="20"/>
          <w:szCs w:val="20"/>
        </w:rPr>
        <w:tab/>
      </w:r>
      <w:r>
        <w:rPr>
          <w:rFonts w:ascii="Arial" w:hAnsi="Arial" w:cs="Arial"/>
          <w:sz w:val="20"/>
          <w:szCs w:val="20"/>
        </w:rPr>
        <w:tab/>
      </w:r>
      <w:r>
        <w:rPr>
          <w:rFonts w:ascii="Arial" w:hAnsi="Arial" w:cs="Arial"/>
          <w:sz w:val="20"/>
          <w:szCs w:val="20"/>
        </w:rPr>
        <w:tab/>
        <w:t>Cardiff West</w:t>
      </w: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Nick de Bois MP </w:t>
      </w:r>
      <w:r>
        <w:rPr>
          <w:rFonts w:ascii="Arial" w:hAnsi="Arial" w:cs="Arial"/>
          <w:sz w:val="20"/>
          <w:szCs w:val="20"/>
        </w:rPr>
        <w:tab/>
      </w:r>
      <w:r>
        <w:rPr>
          <w:rFonts w:ascii="Arial" w:hAnsi="Arial" w:cs="Arial"/>
          <w:sz w:val="20"/>
          <w:szCs w:val="20"/>
        </w:rPr>
        <w:tab/>
        <w:t xml:space="preserve">Conservative </w:t>
      </w:r>
      <w:r>
        <w:rPr>
          <w:rFonts w:ascii="Arial" w:hAnsi="Arial" w:cs="Arial"/>
          <w:sz w:val="20"/>
          <w:szCs w:val="20"/>
        </w:rPr>
        <w:tab/>
      </w:r>
      <w:r>
        <w:rPr>
          <w:rFonts w:ascii="Arial" w:hAnsi="Arial" w:cs="Arial"/>
          <w:sz w:val="20"/>
          <w:szCs w:val="20"/>
        </w:rPr>
        <w:tab/>
        <w:t>Enfield North</w:t>
      </w: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Michael Dugher MP </w:t>
      </w:r>
      <w:r>
        <w:rPr>
          <w:rFonts w:ascii="Arial" w:hAnsi="Arial" w:cs="Arial"/>
          <w:sz w:val="20"/>
          <w:szCs w:val="20"/>
        </w:rPr>
        <w:tab/>
      </w:r>
      <w:r>
        <w:rPr>
          <w:rFonts w:ascii="Arial" w:hAnsi="Arial" w:cs="Arial"/>
          <w:sz w:val="20"/>
          <w:szCs w:val="20"/>
        </w:rPr>
        <w:tab/>
        <w:t xml:space="preserve">Labour </w:t>
      </w:r>
      <w:r>
        <w:rPr>
          <w:rFonts w:ascii="Arial" w:hAnsi="Arial" w:cs="Arial"/>
          <w:sz w:val="20"/>
          <w:szCs w:val="20"/>
        </w:rPr>
        <w:tab/>
      </w:r>
      <w:r>
        <w:rPr>
          <w:rFonts w:ascii="Arial" w:hAnsi="Arial" w:cs="Arial"/>
          <w:sz w:val="20"/>
          <w:szCs w:val="20"/>
        </w:rPr>
        <w:tab/>
      </w:r>
      <w:r>
        <w:rPr>
          <w:rFonts w:ascii="Arial" w:hAnsi="Arial" w:cs="Arial"/>
          <w:sz w:val="20"/>
          <w:szCs w:val="20"/>
        </w:rPr>
        <w:tab/>
        <w:t>Barnsley East</w:t>
      </w: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Charlie Elphicke MP </w:t>
      </w:r>
      <w:r>
        <w:rPr>
          <w:rFonts w:ascii="Arial" w:hAnsi="Arial" w:cs="Arial"/>
          <w:sz w:val="20"/>
          <w:szCs w:val="20"/>
        </w:rPr>
        <w:tab/>
      </w:r>
      <w:r>
        <w:rPr>
          <w:rFonts w:ascii="Arial" w:hAnsi="Arial" w:cs="Arial"/>
          <w:sz w:val="20"/>
          <w:szCs w:val="20"/>
        </w:rPr>
        <w:tab/>
        <w:t xml:space="preserve">Conservative </w:t>
      </w:r>
      <w:r>
        <w:rPr>
          <w:rFonts w:ascii="Arial" w:hAnsi="Arial" w:cs="Arial"/>
          <w:sz w:val="20"/>
          <w:szCs w:val="20"/>
        </w:rPr>
        <w:tab/>
      </w:r>
      <w:r>
        <w:rPr>
          <w:rFonts w:ascii="Arial" w:hAnsi="Arial" w:cs="Arial"/>
          <w:sz w:val="20"/>
          <w:szCs w:val="20"/>
        </w:rPr>
        <w:tab/>
        <w:t>Dover</w:t>
      </w: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Paul Flynn MP </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Labour </w:t>
      </w:r>
      <w:r>
        <w:rPr>
          <w:rFonts w:ascii="Arial" w:hAnsi="Arial" w:cs="Arial"/>
          <w:sz w:val="20"/>
          <w:szCs w:val="20"/>
        </w:rPr>
        <w:tab/>
      </w:r>
      <w:r>
        <w:rPr>
          <w:rFonts w:ascii="Arial" w:hAnsi="Arial" w:cs="Arial"/>
          <w:sz w:val="20"/>
          <w:szCs w:val="20"/>
        </w:rPr>
        <w:tab/>
      </w:r>
      <w:r>
        <w:rPr>
          <w:rFonts w:ascii="Arial" w:hAnsi="Arial" w:cs="Arial"/>
          <w:sz w:val="20"/>
          <w:szCs w:val="20"/>
        </w:rPr>
        <w:tab/>
        <w:t>Newport West</w:t>
      </w: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Robert Halfon MP </w:t>
      </w:r>
      <w:r>
        <w:rPr>
          <w:rFonts w:ascii="Arial" w:hAnsi="Arial" w:cs="Arial"/>
          <w:sz w:val="20"/>
          <w:szCs w:val="20"/>
        </w:rPr>
        <w:tab/>
      </w:r>
      <w:r>
        <w:rPr>
          <w:rFonts w:ascii="Arial" w:hAnsi="Arial" w:cs="Arial"/>
          <w:sz w:val="20"/>
          <w:szCs w:val="20"/>
        </w:rPr>
        <w:tab/>
        <w:t xml:space="preserve">Conservative </w:t>
      </w:r>
      <w:r>
        <w:rPr>
          <w:rFonts w:ascii="Arial" w:hAnsi="Arial" w:cs="Arial"/>
          <w:sz w:val="20"/>
          <w:szCs w:val="20"/>
        </w:rPr>
        <w:tab/>
      </w:r>
      <w:r>
        <w:rPr>
          <w:rFonts w:ascii="Arial" w:hAnsi="Arial" w:cs="Arial"/>
          <w:sz w:val="20"/>
          <w:szCs w:val="20"/>
        </w:rPr>
        <w:tab/>
        <w:t>Harlow</w:t>
      </w: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David Heyes MP </w:t>
      </w:r>
      <w:r>
        <w:rPr>
          <w:rFonts w:ascii="Arial" w:hAnsi="Arial" w:cs="Arial"/>
          <w:sz w:val="20"/>
          <w:szCs w:val="20"/>
        </w:rPr>
        <w:tab/>
      </w:r>
      <w:r>
        <w:rPr>
          <w:rFonts w:ascii="Arial" w:hAnsi="Arial" w:cs="Arial"/>
          <w:sz w:val="20"/>
          <w:szCs w:val="20"/>
        </w:rPr>
        <w:tab/>
        <w:t xml:space="preserve">Labour </w:t>
      </w:r>
      <w:r>
        <w:rPr>
          <w:rFonts w:ascii="Arial" w:hAnsi="Arial" w:cs="Arial"/>
          <w:sz w:val="20"/>
          <w:szCs w:val="20"/>
        </w:rPr>
        <w:tab/>
      </w:r>
      <w:r>
        <w:rPr>
          <w:rFonts w:ascii="Arial" w:hAnsi="Arial" w:cs="Arial"/>
          <w:sz w:val="20"/>
          <w:szCs w:val="20"/>
        </w:rPr>
        <w:tab/>
      </w:r>
      <w:r>
        <w:rPr>
          <w:rFonts w:ascii="Arial" w:hAnsi="Arial" w:cs="Arial"/>
          <w:sz w:val="20"/>
          <w:szCs w:val="20"/>
        </w:rPr>
        <w:tab/>
        <w:t>Ashton under Lyne</w:t>
      </w: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Greg Mulholland MP </w:t>
      </w:r>
      <w:r>
        <w:rPr>
          <w:rFonts w:ascii="Arial" w:hAnsi="Arial" w:cs="Arial"/>
          <w:sz w:val="20"/>
          <w:szCs w:val="20"/>
        </w:rPr>
        <w:tab/>
      </w:r>
      <w:r>
        <w:rPr>
          <w:rFonts w:ascii="Arial" w:hAnsi="Arial" w:cs="Arial"/>
          <w:sz w:val="20"/>
          <w:szCs w:val="20"/>
        </w:rPr>
        <w:tab/>
        <w:t>Liberal Democrat</w:t>
      </w:r>
      <w:r>
        <w:rPr>
          <w:rFonts w:ascii="Arial" w:hAnsi="Arial" w:cs="Arial"/>
          <w:sz w:val="20"/>
          <w:szCs w:val="20"/>
        </w:rPr>
        <w:tab/>
        <w:t>Leeds North West</w:t>
      </w: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Jon Trickett MP </w:t>
      </w:r>
      <w:r>
        <w:rPr>
          <w:rFonts w:ascii="Arial" w:hAnsi="Arial" w:cs="Arial"/>
          <w:sz w:val="20"/>
          <w:szCs w:val="20"/>
        </w:rPr>
        <w:tab/>
      </w:r>
      <w:r>
        <w:rPr>
          <w:rFonts w:ascii="Arial" w:hAnsi="Arial" w:cs="Arial"/>
          <w:sz w:val="20"/>
          <w:szCs w:val="20"/>
        </w:rPr>
        <w:tab/>
        <w:t xml:space="preserve">Labour </w:t>
      </w:r>
      <w:r>
        <w:rPr>
          <w:rFonts w:ascii="Arial" w:hAnsi="Arial" w:cs="Arial"/>
          <w:sz w:val="20"/>
          <w:szCs w:val="20"/>
        </w:rPr>
        <w:tab/>
      </w:r>
      <w:r>
        <w:rPr>
          <w:rFonts w:ascii="Arial" w:hAnsi="Arial" w:cs="Arial"/>
          <w:sz w:val="20"/>
          <w:szCs w:val="20"/>
        </w:rPr>
        <w:tab/>
      </w:r>
      <w:r>
        <w:rPr>
          <w:rFonts w:ascii="Arial" w:hAnsi="Arial" w:cs="Arial"/>
          <w:sz w:val="20"/>
          <w:szCs w:val="20"/>
        </w:rPr>
        <w:tab/>
        <w:t>Hemsworth</w:t>
      </w:r>
    </w:p>
    <w:p w:rsidR="003968B1" w:rsidRDefault="003968B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xml:space="preserve"> Charles Walker MP </w:t>
      </w:r>
      <w:r>
        <w:rPr>
          <w:rFonts w:ascii="Arial" w:hAnsi="Arial" w:cs="Arial"/>
          <w:sz w:val="20"/>
          <w:szCs w:val="20"/>
        </w:rPr>
        <w:tab/>
      </w:r>
      <w:r>
        <w:rPr>
          <w:rFonts w:ascii="Arial" w:hAnsi="Arial" w:cs="Arial"/>
          <w:sz w:val="20"/>
          <w:szCs w:val="20"/>
        </w:rPr>
        <w:tab/>
        <w:t xml:space="preserve">Conservative </w:t>
      </w:r>
      <w:r>
        <w:rPr>
          <w:rFonts w:ascii="Arial" w:hAnsi="Arial" w:cs="Arial"/>
          <w:sz w:val="20"/>
          <w:szCs w:val="20"/>
        </w:rPr>
        <w:tab/>
      </w:r>
      <w:r>
        <w:rPr>
          <w:rFonts w:ascii="Arial" w:hAnsi="Arial" w:cs="Arial"/>
          <w:sz w:val="20"/>
          <w:szCs w:val="20"/>
        </w:rPr>
        <w:tab/>
        <w:t>Broxbourne</w:t>
      </w:r>
    </w:p>
    <w:p w:rsidR="003968B1" w:rsidRDefault="003968B1">
      <w:pPr>
        <w:widowControl w:val="0"/>
        <w:autoSpaceDE w:val="0"/>
        <w:autoSpaceDN w:val="0"/>
        <w:adjustRightInd w:val="0"/>
        <w:spacing w:after="0" w:line="240" w:lineRule="auto"/>
        <w:rPr>
          <w:rFonts w:ascii="Arial" w:hAnsi="Arial" w:cs="Arial"/>
          <w:sz w:val="12"/>
          <w:szCs w:val="12"/>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http://en.wikipedia.org/wiki/Public_Administration_Select_Committee</w:t>
      </w: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Christian Philosophy</w:t>
      </w:r>
    </w:p>
    <w:p w:rsidR="003968B1" w:rsidRDefault="003968B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Louis de Poissy</w:t>
      </w:r>
    </w:p>
    <w:p w:rsidR="003968B1" w:rsidRDefault="003968B1">
      <w:pPr>
        <w:widowControl w:val="0"/>
        <w:autoSpaceDE w:val="0"/>
        <w:autoSpaceDN w:val="0"/>
        <w:adjustRightInd w:val="0"/>
        <w:spacing w:after="0" w:line="240" w:lineRule="auto"/>
        <w:rPr>
          <w:rFonts w:ascii="Arial" w:hAnsi="Arial" w:cs="Arial"/>
          <w:sz w:val="12"/>
          <w:szCs w:val="12"/>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Elementary Course of CHRISTIAN PHILOSOPHY Based on the Principles of the Best Scholastic Authors Adapted from the French of Brother Louis of Poissy by The Brothers of the Christian Schools.</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SECOND EDITION REVISED. O'SHEA &amp; Co. NEW YORK Entered according to Act of Congress, In the year 1898, by PETER MUTH In the Office of the Librarian of Congress, at Washington</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Nihil Obstat. D. J. McMAHON, D.D. Imprimatur. + MICHAEL AUGUSTINE, ARCHBISHOP OF NEW YORK NEW YORK, Aug. 11, 1898.   . . .</w:t>
      </w:r>
    </w:p>
    <w:p w:rsidR="003968B1" w:rsidRDefault="003968B1">
      <w:pPr>
        <w:widowControl w:val="0"/>
        <w:autoSpaceDE w:val="0"/>
        <w:autoSpaceDN w:val="0"/>
        <w:adjustRightInd w:val="0"/>
        <w:spacing w:after="0" w:line="240" w:lineRule="auto"/>
        <w:rPr>
          <w:rFonts w:ascii="Arial" w:hAnsi="Arial" w:cs="Arial"/>
          <w:sz w:val="12"/>
          <w:szCs w:val="12"/>
        </w:rPr>
      </w:pPr>
    </w:p>
    <w:p w:rsidR="003968B1" w:rsidRDefault="003968B1">
      <w:pPr>
        <w:widowControl w:val="0"/>
        <w:autoSpaceDE w:val="0"/>
        <w:autoSpaceDN w:val="0"/>
        <w:adjustRightInd w:val="0"/>
        <w:spacing w:after="0" w:line="240" w:lineRule="auto"/>
        <w:rPr>
          <w:rFonts w:ascii="Arial" w:hAnsi="Arial" w:cs="Arial"/>
          <w:sz w:val="28"/>
          <w:szCs w:val="28"/>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To our Beloved Son, Brother Louis of Poissy, of the Congregation of the Brothers of the Christian Schools, Beziers.</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Pius IX. Pope.</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BELOVED SON, HEALTH AND APOSTOLIC BENEDICTION. </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Especially must we be on our guard in the great flood of errors, of which the corruption of philosophy has been the unfailing source. </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We    . . .   congratulate you, Beloved Son, on the manner in which you have treated of the elements of this science. Setting aside the false systems of more recent writers, you have followed the Angelic Doctor    . . .</w:t>
      </w: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16"/>
          <w:szCs w:val="16"/>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are glad that the Elementary Course of Christian Philosophy, which you have published, has received the approbation of a Bishop so distinguished as yours; and with him we earnestly wish that it may prove beneficial to many.</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meantime, as a presage of the divine favor and a pledge of our paternal love, we very affectionately impart to you, Beloved Son, the Apostolic Benediction.</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Given at Rome, at St. Peter's, March 18, 1876, in the thirtieth year of Our Pontificate.</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PIUS IX., POPE.</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Chapter IV. The Society of Nations.</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118. The nations are destined by nature to unite under a new and more extended form of society.</w:t>
      </w:r>
    </w:p>
    <w:p w:rsidR="003968B1" w:rsidRDefault="003968B1">
      <w:pPr>
        <w:widowControl w:val="0"/>
        <w:autoSpaceDE w:val="0"/>
        <w:autoSpaceDN w:val="0"/>
        <w:adjustRightInd w:val="0"/>
        <w:spacing w:after="0" w:line="240" w:lineRule="auto"/>
        <w:rPr>
          <w:rFonts w:ascii="Arial" w:hAnsi="Arial" w:cs="Arial"/>
          <w:sz w:val="12"/>
          <w:szCs w:val="12"/>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The nations, finding themselves in contact with one another, are obliged to aspire to a common good, which consists in order; it is, therefore, the design of nature that they form a universal society. The same conclusion is drawn from the need which nations experience of associating for their material, intellectual, and moral development.</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119. The universal society of nations, far from injuring their independence, is its surest guarantee.</w:t>
      </w:r>
    </w:p>
    <w:p w:rsidR="003968B1" w:rsidRDefault="003968B1">
      <w:pPr>
        <w:widowControl w:val="0"/>
        <w:autoSpaceDE w:val="0"/>
        <w:autoSpaceDN w:val="0"/>
        <w:adjustRightInd w:val="0"/>
        <w:spacing w:after="0" w:line="240" w:lineRule="auto"/>
        <w:rPr>
          <w:rFonts w:ascii="Arial" w:hAnsi="Arial" w:cs="Arial"/>
          <w:sz w:val="12"/>
          <w:szCs w:val="12"/>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As civil society is the most powerful protection of the domestic order, so the universal society of nations is destined to assure the national independence and upright government of each of the associated peoples.</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120. The authority destined to rule this universal society is naturally polyarchical, but it may also be monarchical.</w:t>
      </w:r>
    </w:p>
    <w:p w:rsidR="003968B1" w:rsidRDefault="003968B1">
      <w:pPr>
        <w:widowControl w:val="0"/>
        <w:autoSpaceDE w:val="0"/>
        <w:autoSpaceDN w:val="0"/>
        <w:adjustRightInd w:val="0"/>
        <w:spacing w:after="0" w:line="240" w:lineRule="auto"/>
        <w:rPr>
          <w:rFonts w:ascii="Arial" w:hAnsi="Arial" w:cs="Arial"/>
          <w:sz w:val="12"/>
          <w:szCs w:val="12"/>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Nations are in themselves equal, therefore they all naturally share the authority in the person of their representatives who are united in a general assembly. Yet it depends on their will to delegate the whole power to one, as happened in the empire of the middle ages.</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121. The associated nations should apply themselves to the gradual formation of a government endowed in the highest degree with unity and efficacy; and this government should have threefold power, legislative, executive, and judiciary.</w:t>
      </w:r>
    </w:p>
    <w:p w:rsidR="003968B1" w:rsidRDefault="003968B1">
      <w:pPr>
        <w:widowControl w:val="0"/>
        <w:autoSpaceDE w:val="0"/>
        <w:autoSpaceDN w:val="0"/>
        <w:adjustRightInd w:val="0"/>
        <w:spacing w:after="0" w:line="240" w:lineRule="auto"/>
        <w:rPr>
          <w:rFonts w:ascii="Arial" w:hAnsi="Arial" w:cs="Arial"/>
          <w:sz w:val="12"/>
          <w:szCs w:val="12"/>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The government of this universal society should possess the conditions of all government. The more it is one and efficacious, the more will harmony reign among the nations. If all international controversies and all the abuses of power by those who govern could legitimately be summoned to its tribunal, there would soon be an end of all international or civil war.</w:t>
      </w: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Appendix on Religious Society.        . . .</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ART. II. -- RIGHTS OF THE CHURCH.       . . .</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129. The power of the Church is threefold -- legislative, executive, and judiciary. -- Since this triple power appertains necessarily to every society, it should belong also to the Church. But because this power in the Church is of divine institution, it possesses this triple power without division, and nothing can prevent its exercise.</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130. The Church has the right to use coercive power, and even material force.</w:t>
      </w:r>
    </w:p>
    <w:p w:rsidR="003968B1" w:rsidRDefault="003968B1">
      <w:pPr>
        <w:widowControl w:val="0"/>
        <w:autoSpaceDE w:val="0"/>
        <w:autoSpaceDN w:val="0"/>
        <w:adjustRightInd w:val="0"/>
        <w:spacing w:after="0" w:line="240" w:lineRule="auto"/>
        <w:rPr>
          <w:rFonts w:ascii="Arial" w:hAnsi="Arial" w:cs="Arial"/>
          <w:sz w:val="12"/>
          <w:szCs w:val="12"/>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If the Church had not this right, its authority would be vain. Recourse to material force is often necessary to the Church to repress culpable external acts of men. Moreover, because the swerving of the will takes its rise in the senses, it is necessary to act upon the senses to restore the equilibrium of man's moral nature.</w:t>
      </w: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ART. III. -- MUTUAL RELATIONS OF CHURCH AND STATE.</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133. The Church is entirely independent of the State.</w:t>
      </w:r>
    </w:p>
    <w:p w:rsidR="003968B1" w:rsidRDefault="003968B1">
      <w:pPr>
        <w:widowControl w:val="0"/>
        <w:autoSpaceDE w:val="0"/>
        <w:autoSpaceDN w:val="0"/>
        <w:adjustRightInd w:val="0"/>
        <w:spacing w:after="0" w:line="240" w:lineRule="auto"/>
        <w:rPr>
          <w:rFonts w:ascii="Arial" w:hAnsi="Arial" w:cs="Arial"/>
          <w:sz w:val="12"/>
          <w:szCs w:val="12"/>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The Church has for its object the supernatural and divine order, while the State has for its object the natural and human order. Therefore, unless it be granted that the divine order is subordinate to the human, the Church cannot be subordinate to the State. Secondly, the Church is immutable; therefore it cannot be subject to the State, which by its nature is various and changeable.</w:t>
      </w: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3968B1" w:rsidRDefault="003968B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xml:space="preserve">135. The State cannot be separated from the Church. </w:t>
      </w:r>
    </w:p>
    <w:p w:rsidR="003968B1" w:rsidRDefault="003968B1">
      <w:pPr>
        <w:widowControl w:val="0"/>
        <w:autoSpaceDE w:val="0"/>
        <w:autoSpaceDN w:val="0"/>
        <w:adjustRightInd w:val="0"/>
        <w:spacing w:after="0" w:line="240" w:lineRule="auto"/>
        <w:rPr>
          <w:rFonts w:ascii="Arial" w:hAnsi="Arial" w:cs="Arial"/>
          <w:sz w:val="12"/>
          <w:szCs w:val="12"/>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The end of the State cannot be separated from the end of the Church, since the former is a means to attain the latter. Secondly, were the State to separate from the Church, there would be great embarrassment for the conscience of subjects if the State should impose laws contrary to those of the Church, which would not fail to happen frequently. Hence as the Church comes to the aid of the State in maintaining the citizens in the love of duty and in obedience to legitimate authority, so the State should lend support to the Church in defending its rights, in facilitating the exercise of its ministry, and in repressing those who might wish to impede its action.</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136. Although the State is independent in the exercise of the power proper to its institution and end, yet absolutely it is subordinate to the Church.</w:t>
      </w:r>
    </w:p>
    <w:p w:rsidR="003968B1" w:rsidRDefault="003968B1">
      <w:pPr>
        <w:widowControl w:val="0"/>
        <w:autoSpaceDE w:val="0"/>
        <w:autoSpaceDN w:val="0"/>
        <w:adjustRightInd w:val="0"/>
        <w:spacing w:after="0" w:line="240" w:lineRule="auto"/>
        <w:rPr>
          <w:rFonts w:ascii="Arial" w:hAnsi="Arial" w:cs="Arial"/>
          <w:sz w:val="12"/>
          <w:szCs w:val="12"/>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Just as the Church should be supreme in the order of religion, so the State should be supreme in the civil order, because it also constitutes a perfect society, distinct in its origin, end, and means. Men should, therefore, obey the State in temporal matters, but the Church in spiritual matters. But because the end of the Church is much more elevated than that of the State, the State, absolutely, should be subordinate to the Church. If there be a collision of rights, that of the Church should prevail.</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ART. IV. -- RELATIONS BETWEEN THE CHURCH AND INTERNATIONAL SOCIETY.</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xml:space="preserve">137. The Church naturally gives rise to a universal society among nations. </w:t>
      </w:r>
    </w:p>
    <w:p w:rsidR="003968B1" w:rsidRDefault="003968B1">
      <w:pPr>
        <w:widowControl w:val="0"/>
        <w:autoSpaceDE w:val="0"/>
        <w:autoSpaceDN w:val="0"/>
        <w:adjustRightInd w:val="0"/>
        <w:spacing w:after="0" w:line="240" w:lineRule="auto"/>
        <w:rPr>
          <w:rFonts w:ascii="Arial" w:hAnsi="Arial" w:cs="Arial"/>
          <w:sz w:val="12"/>
          <w:szCs w:val="12"/>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Without religious association the universal society of nations is impossible, because union cannot exist among men differing in belief and customs. Besides, owing to the passions of men, union cannot long subsist where the powerful restraint of religion is wanting to keep them in bounds. Religious association, on the contrary, leads naturally to temporal association. Thus, from the religious communion which the Church establishes among the nations subject to her, there naturally follows a union of even temporal interests. But the universal society which the Church naturally establishes, although essentially united to the Church and subsisting in the Church, is, nevertheless, a society distinct from the Church in nature, formation, end, and means.</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138. Although the authority in this universal society is naturally polyarchic, yet from its nature it is fitting that it should be vested in the person of the Sovereign Pontiff.</w:t>
      </w:r>
    </w:p>
    <w:p w:rsidR="003968B1" w:rsidRDefault="003968B1">
      <w:pPr>
        <w:widowControl w:val="0"/>
        <w:autoSpaceDE w:val="0"/>
        <w:autoSpaceDN w:val="0"/>
        <w:adjustRightInd w:val="0"/>
        <w:spacing w:after="0" w:line="240" w:lineRule="auto"/>
        <w:rPr>
          <w:rFonts w:ascii="Arial" w:hAnsi="Arial" w:cs="Arial"/>
          <w:sz w:val="12"/>
          <w:szCs w:val="12"/>
        </w:rPr>
      </w:pPr>
    </w:p>
    <w:p w:rsidR="003968B1" w:rsidRDefault="003968B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The temporal rights of nations remain completely independent of the Church; therefore each has a right to share in the authority which is to govern the universal society. But this authority naturally tends to revert to him who is the best fitted to secure the social good; therefore it will be found especially in the person of the Sovereign Pontiff, who on account of the influence of his religious authority and the moral power inherent in his office, is the most proper person to secure order, peace, and mutual assistance among the nations.</w:t>
      </w:r>
    </w:p>
    <w:p w:rsidR="003968B1" w:rsidRDefault="003968B1">
      <w:pPr>
        <w:widowControl w:val="0"/>
        <w:autoSpaceDE w:val="0"/>
        <w:autoSpaceDN w:val="0"/>
        <w:adjustRightInd w:val="0"/>
        <w:spacing w:after="0" w:line="240" w:lineRule="auto"/>
        <w:rPr>
          <w:rFonts w:ascii="Arial" w:hAnsi="Arial" w:cs="Arial"/>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http://maritain.nd.edu/jmc/etext/cp.htm</w:t>
      </w: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http://maritain.nd.edu/jmc/etext/cp51.htm</w:t>
      </w: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http://maritain.nd.edu/jmc/etext/cp52.htm</w:t>
      </w: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20"/>
          <w:szCs w:val="20"/>
        </w:rPr>
      </w:pPr>
    </w:p>
    <w:p w:rsidR="003968B1" w:rsidRDefault="003968B1">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3968B1" w:rsidRDefault="003968B1">
      <w:pPr>
        <w:widowControl w:val="0"/>
        <w:autoSpaceDE w:val="0"/>
        <w:autoSpaceDN w:val="0"/>
        <w:adjustRightInd w:val="0"/>
        <w:spacing w:after="0" w:line="240" w:lineRule="auto"/>
        <w:rPr>
          <w:rFonts w:ascii="Times New Roman" w:hAnsi="Times New Roman" w:cs="Times New Roman"/>
          <w:sz w:val="34"/>
          <w:szCs w:val="34"/>
        </w:rPr>
      </w:pPr>
    </w:p>
    <w:p w:rsidR="003968B1" w:rsidRDefault="003968B1">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3968B1" w:rsidSect="003968B1">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8B1" w:rsidRDefault="003968B1" w:rsidP="003968B1">
      <w:pPr>
        <w:spacing w:after="0" w:line="240" w:lineRule="auto"/>
      </w:pPr>
      <w:r>
        <w:separator/>
      </w:r>
    </w:p>
  </w:endnote>
  <w:endnote w:type="continuationSeparator" w:id="0">
    <w:p w:rsidR="003968B1" w:rsidRDefault="003968B1" w:rsidP="003968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8B1" w:rsidRDefault="003968B1">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8B1" w:rsidRDefault="003968B1" w:rsidP="003968B1">
      <w:pPr>
        <w:spacing w:after="0" w:line="240" w:lineRule="auto"/>
      </w:pPr>
      <w:r>
        <w:separator/>
      </w:r>
    </w:p>
  </w:footnote>
  <w:footnote w:type="continuationSeparator" w:id="0">
    <w:p w:rsidR="003968B1" w:rsidRDefault="003968B1" w:rsidP="003968B1">
      <w:pPr>
        <w:spacing w:after="0" w:line="240" w:lineRule="auto"/>
      </w:pPr>
      <w:r>
        <w:continuationSeparator/>
      </w:r>
    </w:p>
  </w:footnote>
  <w:footnote w:id="1">
    <w:p w:rsidR="003968B1" w:rsidRDefault="003968B1">
      <w:pPr>
        <w:widowControl w:val="0"/>
        <w:autoSpaceDE w:val="0"/>
        <w:autoSpaceDN w:val="0"/>
        <w:adjustRightInd w:val="0"/>
        <w:spacing w:after="0" w:line="240" w:lineRule="auto"/>
        <w:ind w:left="1008"/>
        <w:rPr>
          <w:rFonts w:ascii="Times New Roman" w:hAnsi="Times New Roman" w:cs="Times New Roman"/>
          <w:sz w:val="12"/>
          <w:szCs w:val="12"/>
        </w:rPr>
      </w:pPr>
      <w:r w:rsidRPr="007F1373">
        <w:rPr>
          <w:rStyle w:val="FootnoteReference"/>
        </w:rPr>
        <w:footnoteRef/>
      </w:r>
      <w:r>
        <w:rPr>
          <w:rFonts w:ascii="Times New Roman" w:hAnsi="Times New Roman" w:cs="Times New Roman"/>
          <w:sz w:val="24"/>
          <w:szCs w:val="24"/>
        </w:rPr>
        <w:t xml:space="preserve"> </w:t>
      </w:r>
      <w:r>
        <w:rPr>
          <w:rFonts w:ascii="Arial" w:hAnsi="Arial" w:cs="Arial"/>
          <w:sz w:val="20"/>
          <w:szCs w:val="20"/>
        </w:rPr>
        <w:t>Fellow of the Cato Institute</w:t>
      </w:r>
    </w:p>
    <w:p w:rsidR="003968B1" w:rsidRDefault="003968B1">
      <w:pPr>
        <w:widowControl w:val="0"/>
        <w:autoSpaceDE w:val="0"/>
        <w:autoSpaceDN w:val="0"/>
        <w:adjustRightInd w:val="0"/>
        <w:spacing w:after="0" w:line="240" w:lineRule="auto"/>
        <w:ind w:left="1008"/>
        <w:rPr>
          <w:rFonts w:ascii="Times New Roman" w:hAnsi="Times New Roman" w:cs="Times New Roman"/>
          <w:sz w:val="12"/>
          <w:szCs w:val="12"/>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8B1" w:rsidRDefault="003968B1">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68B1"/>
    <w:rsid w:val="003968B1"/>
    <w:rsid w:val="007F137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7F1373"/>
    <w:rPr>
      <w:vertAlign w:val="superscript"/>
    </w:rPr>
  </w:style>
  <w:style w:type="character" w:styleId="FootnoteReference">
    <w:name w:val="footnote reference"/>
    <w:basedOn w:val="DefaultParagraphFont"/>
    <w:uiPriority w:val="99"/>
    <w:semiHidden/>
    <w:unhideWhenUsed/>
    <w:rsid w:val="007F1373"/>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4180</Words>
  <Characters>23827</Characters>
  <Application>Microsoft Office Word</Application>
  <DocSecurity>0</DocSecurity>
  <Lines>198</Lines>
  <Paragraphs>55</Paragraphs>
  <ScaleCrop>false</ScaleCrop>
  <Company/>
  <LinksUpToDate>false</LinksUpToDate>
  <CharactersWithSpaces>27952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2019-06-04T00:05:00Z</dcterms:created>
  <dcterms:modified xsi:type="dcterms:W3CDTF">2019-06-04T00:05:00Z</dcterms:modified>
</cp:coreProperties>
</file>