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48A" w:rsidRDefault="0073348A" w:rsidP="0073348A">
      <w:pPr>
        <w:autoSpaceDE w:val="0"/>
        <w:autoSpaceDN w:val="0"/>
        <w:adjustRightInd w:val="0"/>
        <w:spacing w:after="140" w:line="280" w:lineRule="atLeast"/>
        <w:ind w:right="180"/>
        <w:rPr>
          <w:rFonts w:ascii="Arial" w:hAnsi="Arial" w:cs="Arial"/>
          <w:sz w:val="24"/>
          <w:szCs w:val="24"/>
        </w:rPr>
      </w:pPr>
    </w:p>
    <w:p w:rsidR="0073348A" w:rsidRDefault="0073348A" w:rsidP="0073348A">
      <w:pPr>
        <w:autoSpaceDE w:val="0"/>
        <w:autoSpaceDN w:val="0"/>
        <w:adjustRightInd w:val="0"/>
        <w:spacing w:after="140" w:line="280" w:lineRule="atLeast"/>
        <w:ind w:right="180"/>
        <w:rPr>
          <w:rFonts w:ascii="Arial" w:hAnsi="Arial" w:cs="Arial"/>
          <w:sz w:val="24"/>
          <w:szCs w:val="24"/>
        </w:rPr>
      </w:pPr>
      <w:r>
        <w:rPr>
          <w:rFonts w:ascii="Arial" w:hAnsi="Arial" w:cs="Arial"/>
        </w:rPr>
        <w:tab/>
        <w:t>Catholics believe that they can help by their prayers and good works those who have died without being fully purified of their sins. This belief is closely associated with the doctrines of purgatory and indulgence.</w:t>
      </w:r>
      <w:r>
        <w:rPr>
          <w:rFonts w:ascii="Arial" w:hAnsi="Arial" w:cs="Arial"/>
          <w:position w:val="6"/>
          <w:sz w:val="20"/>
          <w:szCs w:val="20"/>
        </w:rPr>
        <w:footnoteReference w:id="1"/>
      </w:r>
    </w:p>
    <w:p w:rsidR="0073348A" w:rsidRDefault="0073348A" w:rsidP="009806BF">
      <w:pPr>
        <w:autoSpaceDE w:val="0"/>
        <w:autoSpaceDN w:val="0"/>
        <w:adjustRightInd w:val="0"/>
        <w:spacing w:after="0" w:line="240" w:lineRule="auto"/>
        <w:rPr>
          <w:rFonts w:ascii="Arial" w:hAnsi="Arial" w:cs="Arial"/>
        </w:rPr>
      </w:pPr>
    </w:p>
    <w:p w:rsidR="0073348A" w:rsidRDefault="0073348A" w:rsidP="009806BF">
      <w:pPr>
        <w:autoSpaceDE w:val="0"/>
        <w:autoSpaceDN w:val="0"/>
        <w:adjustRightInd w:val="0"/>
        <w:spacing w:after="0" w:line="240" w:lineRule="auto"/>
        <w:rPr>
          <w:rFonts w:ascii="Arial" w:hAnsi="Arial" w:cs="Arial"/>
        </w:rPr>
      </w:pPr>
    </w:p>
    <w:p w:rsidR="009806BF" w:rsidRDefault="009806BF" w:rsidP="009806BF">
      <w:pPr>
        <w:autoSpaceDE w:val="0"/>
        <w:autoSpaceDN w:val="0"/>
        <w:adjustRightInd w:val="0"/>
        <w:spacing w:after="0" w:line="240" w:lineRule="auto"/>
        <w:rPr>
          <w:rFonts w:ascii="Arial" w:hAnsi="Arial" w:cs="Arial"/>
          <w:sz w:val="24"/>
          <w:szCs w:val="24"/>
        </w:rPr>
      </w:pPr>
      <w:r>
        <w:rPr>
          <w:rFonts w:ascii="Arial" w:hAnsi="Arial" w:cs="Arial"/>
        </w:rPr>
        <w:tab/>
      </w:r>
    </w:p>
    <w:p w:rsidR="009806BF" w:rsidRDefault="009806BF" w:rsidP="00EC09D2">
      <w:pPr>
        <w:autoSpaceDE w:val="0"/>
        <w:autoSpaceDN w:val="0"/>
        <w:adjustRightInd w:val="0"/>
        <w:spacing w:after="140" w:line="280" w:lineRule="atLeast"/>
        <w:ind w:right="180"/>
        <w:rPr>
          <w:rFonts w:ascii="Arial" w:hAnsi="Arial" w:cs="Arial"/>
          <w:sz w:val="24"/>
          <w:szCs w:val="24"/>
        </w:rPr>
      </w:pPr>
      <w:r>
        <w:rPr>
          <w:rFonts w:ascii="Arial" w:hAnsi="Arial" w:cs="Arial"/>
          <w:b/>
          <w:bCs/>
        </w:rPr>
        <w:tab/>
      </w:r>
      <w:proofErr w:type="gramStart"/>
      <w:r>
        <w:rPr>
          <w:rFonts w:ascii="Arial" w:hAnsi="Arial" w:cs="Arial"/>
          <w:b/>
          <w:bCs/>
        </w:rPr>
        <w:t>Indulgence,</w:t>
      </w:r>
      <w:r>
        <w:rPr>
          <w:rFonts w:ascii="Arial" w:hAnsi="Arial" w:cs="Arial"/>
          <w:sz w:val="26"/>
          <w:szCs w:val="26"/>
        </w:rPr>
        <w:t xml:space="preserve"> </w:t>
      </w:r>
      <w:r>
        <w:rPr>
          <w:rFonts w:ascii="Arial" w:hAnsi="Arial" w:cs="Arial"/>
        </w:rPr>
        <w:t>in Roman Catholic practice, the full or partial remission before God of temporal punishment for sins that have been forgiven.</w:t>
      </w:r>
      <w:proofErr w:type="gramEnd"/>
      <w:r>
        <w:rPr>
          <w:rFonts w:ascii="Arial" w:hAnsi="Arial" w:cs="Arial"/>
        </w:rPr>
        <w:t xml:space="preserve"> It is granted by ecclesiastical authority and is considered to be a special form of intercession made by the whole church through its liturgy and prayers for the reconciliation of one of its members, living or dead.</w:t>
      </w:r>
    </w:p>
    <w:p w:rsidR="009806BF" w:rsidRDefault="009806BF" w:rsidP="009806BF">
      <w:pPr>
        <w:autoSpaceDE w:val="0"/>
        <w:autoSpaceDN w:val="0"/>
        <w:adjustRightInd w:val="0"/>
        <w:spacing w:after="140" w:line="280" w:lineRule="atLeast"/>
        <w:ind w:right="180"/>
        <w:rPr>
          <w:rFonts w:ascii="Arial" w:hAnsi="Arial" w:cs="Arial"/>
          <w:sz w:val="24"/>
          <w:szCs w:val="24"/>
        </w:rPr>
      </w:pPr>
      <w:r>
        <w:rPr>
          <w:rFonts w:ascii="Arial" w:hAnsi="Arial" w:cs="Arial"/>
        </w:rPr>
        <w:tab/>
        <w:t>It was not until the 12th century that theological reflection focused on indulgences. At first there was some opposition to the practice, but toward the end of the 12th century the attitude of theologians gradually became more favorable. At the same time, the granting of indulgences became increasingly a prerogative of the pope.</w:t>
      </w:r>
    </w:p>
    <w:p w:rsidR="009806BF" w:rsidRDefault="00EC09D2" w:rsidP="009806BF">
      <w:pPr>
        <w:autoSpaceDE w:val="0"/>
        <w:autoSpaceDN w:val="0"/>
        <w:adjustRightInd w:val="0"/>
        <w:spacing w:after="140" w:line="280" w:lineRule="atLeast"/>
        <w:ind w:right="180"/>
        <w:rPr>
          <w:rFonts w:ascii="Arial" w:hAnsi="Arial" w:cs="Arial"/>
          <w:sz w:val="24"/>
          <w:szCs w:val="24"/>
        </w:rPr>
      </w:pPr>
      <w:r>
        <w:rPr>
          <w:rFonts w:ascii="Arial" w:hAnsi="Arial" w:cs="Arial"/>
        </w:rPr>
        <w:tab/>
      </w:r>
      <w:r w:rsidR="009806BF">
        <w:rPr>
          <w:rFonts w:ascii="Arial" w:hAnsi="Arial" w:cs="Arial"/>
        </w:rPr>
        <w:t xml:space="preserve">During the </w:t>
      </w:r>
      <w:proofErr w:type="gramStart"/>
      <w:r w:rsidR="009806BF">
        <w:rPr>
          <w:rFonts w:ascii="Arial" w:hAnsi="Arial" w:cs="Arial"/>
        </w:rPr>
        <w:t>Middle</w:t>
      </w:r>
      <w:proofErr w:type="gramEnd"/>
      <w:r w:rsidR="009806BF">
        <w:rPr>
          <w:rFonts w:ascii="Arial" w:hAnsi="Arial" w:cs="Arial"/>
        </w:rPr>
        <w:t xml:space="preserve"> Ages, abuses surrounded the practice of granting indulgences. Their sale, with what appeared to be automatic spiritual benefits, even without personal repentance, led Martin Luther and other leaders of the 16th-century Protestant Reformation to abandon the practice altogether.</w:t>
      </w:r>
    </w:p>
    <w:p w:rsidR="009806BF" w:rsidRDefault="00EC09D2" w:rsidP="009806BF">
      <w:pPr>
        <w:autoSpaceDE w:val="0"/>
        <w:autoSpaceDN w:val="0"/>
        <w:adjustRightInd w:val="0"/>
        <w:spacing w:after="140" w:line="280" w:lineRule="atLeast"/>
        <w:ind w:right="180"/>
        <w:rPr>
          <w:rFonts w:ascii="Arial" w:hAnsi="Arial" w:cs="Arial"/>
          <w:sz w:val="24"/>
          <w:szCs w:val="24"/>
        </w:rPr>
      </w:pPr>
      <w:r>
        <w:rPr>
          <w:rFonts w:ascii="Arial" w:hAnsi="Arial" w:cs="Arial"/>
        </w:rPr>
        <w:tab/>
      </w:r>
      <w:r w:rsidR="009806BF">
        <w:rPr>
          <w:rFonts w:ascii="Arial" w:hAnsi="Arial" w:cs="Arial"/>
        </w:rPr>
        <w:t xml:space="preserve">The Roman Catholic </w:t>
      </w:r>
      <w:proofErr w:type="gramStart"/>
      <w:r w:rsidR="009806BF">
        <w:rPr>
          <w:rFonts w:ascii="Arial" w:hAnsi="Arial" w:cs="Arial"/>
        </w:rPr>
        <w:t>church</w:t>
      </w:r>
      <w:proofErr w:type="gramEnd"/>
      <w:r w:rsidR="009806BF">
        <w:rPr>
          <w:rFonts w:ascii="Arial" w:hAnsi="Arial" w:cs="Arial"/>
        </w:rPr>
        <w:t xml:space="preserve"> still grants indulgences.</w:t>
      </w:r>
      <w:r w:rsidR="009806BF">
        <w:rPr>
          <w:rFonts w:ascii="Arial" w:hAnsi="Arial" w:cs="Arial"/>
          <w:position w:val="6"/>
          <w:sz w:val="20"/>
          <w:szCs w:val="20"/>
        </w:rPr>
        <w:footnoteReference w:id="2"/>
      </w:r>
    </w:p>
    <w:p w:rsidR="009806BF" w:rsidRDefault="009806BF" w:rsidP="009806BF">
      <w:pPr>
        <w:autoSpaceDE w:val="0"/>
        <w:autoSpaceDN w:val="0"/>
        <w:adjustRightInd w:val="0"/>
        <w:spacing w:after="140" w:line="280" w:lineRule="atLeast"/>
        <w:ind w:right="180"/>
        <w:rPr>
          <w:rFonts w:ascii="Arial" w:hAnsi="Arial" w:cs="Arial"/>
          <w:sz w:val="24"/>
          <w:szCs w:val="24"/>
        </w:rPr>
      </w:pPr>
    </w:p>
    <w:p w:rsidR="009806BF" w:rsidRDefault="009806BF" w:rsidP="00BF7011">
      <w:pPr>
        <w:autoSpaceDE w:val="0"/>
        <w:autoSpaceDN w:val="0"/>
        <w:adjustRightInd w:val="0"/>
        <w:spacing w:after="140" w:line="280" w:lineRule="atLeast"/>
        <w:ind w:right="180"/>
        <w:rPr>
          <w:rFonts w:ascii="Arial" w:hAnsi="Arial" w:cs="Arial"/>
          <w:b/>
          <w:bCs/>
        </w:rPr>
      </w:pPr>
    </w:p>
    <w:p w:rsidR="00BF7011" w:rsidRDefault="00BF7011" w:rsidP="00BF7011">
      <w:pPr>
        <w:autoSpaceDE w:val="0"/>
        <w:autoSpaceDN w:val="0"/>
        <w:adjustRightInd w:val="0"/>
        <w:spacing w:after="140" w:line="280" w:lineRule="atLeast"/>
        <w:ind w:right="180"/>
        <w:rPr>
          <w:rFonts w:ascii="Arial" w:hAnsi="Arial" w:cs="Arial"/>
        </w:rPr>
      </w:pPr>
      <w:r>
        <w:rPr>
          <w:rFonts w:ascii="Arial" w:hAnsi="Arial" w:cs="Arial"/>
          <w:b/>
          <w:bCs/>
        </w:rPr>
        <w:tab/>
      </w:r>
      <w:proofErr w:type="gramStart"/>
      <w:r>
        <w:rPr>
          <w:rFonts w:ascii="Arial" w:hAnsi="Arial" w:cs="Arial"/>
          <w:b/>
          <w:bCs/>
        </w:rPr>
        <w:t>Albert of Brandenburg</w:t>
      </w:r>
      <w:r>
        <w:rPr>
          <w:rFonts w:ascii="Arial" w:hAnsi="Arial" w:cs="Arial"/>
          <w:sz w:val="26"/>
          <w:szCs w:val="26"/>
        </w:rPr>
        <w:t xml:space="preserve"> </w:t>
      </w:r>
      <w:r>
        <w:rPr>
          <w:rFonts w:ascii="Arial" w:hAnsi="Arial" w:cs="Arial"/>
        </w:rPr>
        <w:t>(1490-1545), archbishop of Magdeburg and archbishop and elector of Mainz, who was the first German ruler to receive Jesuits in his dominions.</w:t>
      </w:r>
      <w:proofErr w:type="gramEnd"/>
      <w:r>
        <w:rPr>
          <w:rFonts w:ascii="Arial" w:hAnsi="Arial" w:cs="Arial"/>
        </w:rPr>
        <w:t xml:space="preserve"> He was the younger son of John Cicero, the elector of Brandenburg. In 1513 he became archbishop of Magdeburg.</w:t>
      </w:r>
    </w:p>
    <w:p w:rsidR="00BF7011" w:rsidRDefault="00BF7011" w:rsidP="00BF7011">
      <w:pPr>
        <w:autoSpaceDE w:val="0"/>
        <w:autoSpaceDN w:val="0"/>
        <w:adjustRightInd w:val="0"/>
        <w:spacing w:after="140" w:line="280" w:lineRule="atLeast"/>
        <w:ind w:right="180"/>
        <w:rPr>
          <w:rFonts w:ascii="Arial" w:hAnsi="Arial" w:cs="Arial"/>
        </w:rPr>
      </w:pPr>
      <w:r>
        <w:rPr>
          <w:rFonts w:ascii="Arial" w:hAnsi="Arial" w:cs="Arial"/>
        </w:rPr>
        <w:tab/>
        <w:t>The following year he became archbishop and elector of Mainz, and in 1518 he was named a cardinal. In order to pay the expenses involved in obtaining high office, he was granted permission by the pope to sell indulgences.</w:t>
      </w:r>
    </w:p>
    <w:p w:rsidR="00BF7011" w:rsidRDefault="00BF7011" w:rsidP="00BF7011">
      <w:pPr>
        <w:autoSpaceDE w:val="0"/>
        <w:autoSpaceDN w:val="0"/>
        <w:adjustRightInd w:val="0"/>
        <w:spacing w:after="140" w:line="280" w:lineRule="atLeast"/>
        <w:ind w:right="180"/>
        <w:rPr>
          <w:rFonts w:ascii="Arial" w:hAnsi="Arial" w:cs="Arial"/>
        </w:rPr>
      </w:pPr>
      <w:r>
        <w:rPr>
          <w:rFonts w:ascii="Arial" w:hAnsi="Arial" w:cs="Arial"/>
        </w:rPr>
        <w:tab/>
        <w:t xml:space="preserve">Among his agents in this enterprise was the German monk Johann Tetzel, against whom the 95 theses of Martin Luther were directed. In the ensuing struggle between Catholics </w:t>
      </w:r>
      <w:r>
        <w:rPr>
          <w:rFonts w:ascii="Arial" w:hAnsi="Arial" w:cs="Arial"/>
        </w:rPr>
        <w:lastRenderedPageBreak/>
        <w:t xml:space="preserve">and Protestants, Albert adhered to the Catholic </w:t>
      </w:r>
      <w:proofErr w:type="gramStart"/>
      <w:r>
        <w:rPr>
          <w:rFonts w:ascii="Arial" w:hAnsi="Arial" w:cs="Arial"/>
        </w:rPr>
        <w:t>church</w:t>
      </w:r>
      <w:proofErr w:type="gramEnd"/>
      <w:r>
        <w:rPr>
          <w:rFonts w:ascii="Arial" w:hAnsi="Arial" w:cs="Arial"/>
        </w:rPr>
        <w:t>, but acted as peacemaker between the two factions at the Imperial Diet at Augsburg in 1530.</w:t>
      </w:r>
    </w:p>
    <w:p w:rsidR="00BF7011" w:rsidRDefault="00BF7011" w:rsidP="00BF7011">
      <w:pPr>
        <w:autoSpaceDE w:val="0"/>
        <w:autoSpaceDN w:val="0"/>
        <w:adjustRightInd w:val="0"/>
        <w:spacing w:after="140" w:line="280" w:lineRule="atLeast"/>
        <w:ind w:right="180"/>
        <w:rPr>
          <w:rFonts w:ascii="Arial" w:hAnsi="Arial" w:cs="Arial"/>
        </w:rPr>
      </w:pPr>
      <w:r>
        <w:rPr>
          <w:rFonts w:ascii="Arial" w:hAnsi="Arial" w:cs="Arial"/>
        </w:rPr>
        <w:tab/>
        <w:t>Despite his loyalty to the church, he granted religious liberty to his subjects, many of whom were Protestants, on condition that they pay his debts of about half a million florins.</w:t>
      </w:r>
      <w:r>
        <w:rPr>
          <w:rFonts w:ascii="Arial" w:hAnsi="Arial" w:cs="Arial"/>
          <w:position w:val="6"/>
          <w:sz w:val="20"/>
          <w:szCs w:val="20"/>
        </w:rPr>
        <w:footnoteReference w:id="3"/>
      </w:r>
    </w:p>
    <w:p w:rsidR="00BF7011" w:rsidRDefault="00BF7011" w:rsidP="00BF7011">
      <w:pPr>
        <w:autoSpaceDE w:val="0"/>
        <w:autoSpaceDN w:val="0"/>
        <w:adjustRightInd w:val="0"/>
        <w:spacing w:after="140" w:line="280" w:lineRule="atLeast"/>
        <w:ind w:right="180"/>
        <w:rPr>
          <w:rFonts w:ascii="Arial" w:hAnsi="Arial" w:cs="Arial"/>
        </w:rPr>
      </w:pPr>
    </w:p>
    <w:p w:rsidR="00505C84" w:rsidRDefault="00505C84" w:rsidP="00505C84">
      <w:pPr>
        <w:autoSpaceDE w:val="0"/>
        <w:autoSpaceDN w:val="0"/>
        <w:adjustRightInd w:val="0"/>
        <w:spacing w:after="0" w:line="240" w:lineRule="auto"/>
        <w:rPr>
          <w:rFonts w:ascii="Arial" w:hAnsi="Arial" w:cs="Arial"/>
          <w:sz w:val="24"/>
          <w:szCs w:val="24"/>
        </w:rPr>
      </w:pPr>
    </w:p>
    <w:p w:rsidR="00505C84" w:rsidRDefault="00505C84" w:rsidP="00505C84">
      <w:pPr>
        <w:autoSpaceDE w:val="0"/>
        <w:autoSpaceDN w:val="0"/>
        <w:adjustRightInd w:val="0"/>
        <w:spacing w:after="140" w:line="280" w:lineRule="atLeast"/>
        <w:ind w:right="180"/>
        <w:rPr>
          <w:rFonts w:ascii="Arial" w:hAnsi="Arial" w:cs="Arial"/>
        </w:rPr>
      </w:pPr>
      <w:r>
        <w:rPr>
          <w:rFonts w:ascii="Arial" w:hAnsi="Arial" w:cs="Arial"/>
          <w:b/>
          <w:bCs/>
        </w:rPr>
        <w:tab/>
      </w:r>
      <w:proofErr w:type="gramStart"/>
      <w:r>
        <w:rPr>
          <w:rFonts w:ascii="Arial" w:hAnsi="Arial" w:cs="Arial"/>
          <w:b/>
          <w:bCs/>
        </w:rPr>
        <w:t>Broadside</w:t>
      </w:r>
      <w:r>
        <w:rPr>
          <w:rFonts w:ascii="Arial" w:hAnsi="Arial" w:cs="Arial"/>
          <w:sz w:val="26"/>
          <w:szCs w:val="26"/>
        </w:rPr>
        <w:t xml:space="preserve"> </w:t>
      </w:r>
      <w:r>
        <w:rPr>
          <w:rFonts w:ascii="Arial" w:hAnsi="Arial" w:cs="Arial"/>
        </w:rPr>
        <w:t xml:space="preserve">or </w:t>
      </w:r>
      <w:r>
        <w:rPr>
          <w:rFonts w:ascii="Arial" w:hAnsi="Arial" w:cs="Arial"/>
          <w:b/>
          <w:bCs/>
        </w:rPr>
        <w:t>Broadsheet,</w:t>
      </w:r>
      <w:r>
        <w:rPr>
          <w:rFonts w:ascii="Arial" w:hAnsi="Arial" w:cs="Arial"/>
          <w:sz w:val="26"/>
          <w:szCs w:val="26"/>
        </w:rPr>
        <w:t xml:space="preserve"> </w:t>
      </w:r>
      <w:r>
        <w:rPr>
          <w:rFonts w:ascii="Arial" w:hAnsi="Arial" w:cs="Arial"/>
        </w:rPr>
        <w:t>in printing and publishing, a single, large sheet of paper bearing printed matter, usually in a solid block of type.</w:t>
      </w:r>
      <w:proofErr w:type="gramEnd"/>
      <w:r>
        <w:rPr>
          <w:rFonts w:ascii="Arial" w:hAnsi="Arial" w:cs="Arial"/>
        </w:rPr>
        <w:t xml:space="preserve"> The broadside was first used in the 15th century for royal proclamations, papal indulgences, and similar documents.</w:t>
      </w:r>
    </w:p>
    <w:p w:rsidR="00505C84" w:rsidRDefault="00505C84" w:rsidP="00505C84">
      <w:pPr>
        <w:autoSpaceDE w:val="0"/>
        <w:autoSpaceDN w:val="0"/>
        <w:adjustRightInd w:val="0"/>
        <w:spacing w:after="140" w:line="280" w:lineRule="atLeast"/>
        <w:ind w:right="180"/>
        <w:rPr>
          <w:rFonts w:ascii="Arial" w:hAnsi="Arial" w:cs="Arial"/>
        </w:rPr>
      </w:pPr>
      <w:r>
        <w:rPr>
          <w:rFonts w:ascii="Arial" w:hAnsi="Arial" w:cs="Arial"/>
        </w:rPr>
        <w:tab/>
        <w:t>A century later it began to be used for political propaganda. In England, the broadside was also used for popular ballads, which were sold on city streets by itinerant peddlers. Toward the end of the 18th century, with the increase in newspapers, the broadside gradually was abandoned. In the 19th century in the United States, broadsides were sometimes used for outdoor advertisements.</w:t>
      </w:r>
      <w:r>
        <w:rPr>
          <w:rFonts w:ascii="Arial" w:hAnsi="Arial" w:cs="Arial"/>
          <w:position w:val="6"/>
          <w:sz w:val="20"/>
          <w:szCs w:val="20"/>
        </w:rPr>
        <w:footnoteReference w:id="4"/>
      </w:r>
    </w:p>
    <w:p w:rsidR="009806BF" w:rsidRDefault="009806BF" w:rsidP="00505C84">
      <w:pPr>
        <w:autoSpaceDE w:val="0"/>
        <w:autoSpaceDN w:val="0"/>
        <w:adjustRightInd w:val="0"/>
        <w:spacing w:after="140" w:line="280" w:lineRule="atLeast"/>
        <w:ind w:right="180"/>
        <w:rPr>
          <w:rFonts w:ascii="Arial" w:hAnsi="Arial" w:cs="Arial"/>
        </w:rPr>
      </w:pPr>
    </w:p>
    <w:p w:rsidR="001C1D78" w:rsidRDefault="001C1D78" w:rsidP="00505C84">
      <w:pPr>
        <w:autoSpaceDE w:val="0"/>
        <w:autoSpaceDN w:val="0"/>
        <w:adjustRightInd w:val="0"/>
        <w:spacing w:after="140" w:line="280" w:lineRule="atLeast"/>
        <w:ind w:right="180"/>
        <w:rPr>
          <w:rFonts w:ascii="Arial" w:hAnsi="Arial" w:cs="Arial"/>
        </w:rPr>
      </w:pPr>
    </w:p>
    <w:p w:rsidR="001C1D78" w:rsidRDefault="001C1D78" w:rsidP="00505C84">
      <w:pPr>
        <w:autoSpaceDE w:val="0"/>
        <w:autoSpaceDN w:val="0"/>
        <w:adjustRightInd w:val="0"/>
        <w:spacing w:after="140" w:line="280" w:lineRule="atLeast"/>
        <w:ind w:right="180"/>
        <w:rPr>
          <w:rFonts w:ascii="Arial" w:hAnsi="Arial" w:cs="Arial"/>
        </w:rPr>
      </w:pPr>
    </w:p>
    <w:sectPr w:rsidR="001C1D78" w:rsidSect="00877AC7">
      <w:pgSz w:w="12240" w:h="15840"/>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6B46" w:rsidRDefault="00036B46" w:rsidP="00BF7011">
      <w:pPr>
        <w:spacing w:after="0" w:line="240" w:lineRule="auto"/>
      </w:pPr>
      <w:r>
        <w:separator/>
      </w:r>
    </w:p>
  </w:endnote>
  <w:endnote w:type="continuationSeparator" w:id="0">
    <w:p w:rsidR="00036B46" w:rsidRDefault="00036B46" w:rsidP="00BF70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6B46" w:rsidRDefault="00036B46" w:rsidP="00BF7011">
      <w:pPr>
        <w:spacing w:after="0" w:line="240" w:lineRule="auto"/>
      </w:pPr>
      <w:r>
        <w:separator/>
      </w:r>
    </w:p>
  </w:footnote>
  <w:footnote w:type="continuationSeparator" w:id="0">
    <w:p w:rsidR="00036B46" w:rsidRDefault="00036B46" w:rsidP="00BF7011">
      <w:pPr>
        <w:spacing w:after="0" w:line="240" w:lineRule="auto"/>
      </w:pPr>
      <w:r>
        <w:continuationSeparator/>
      </w:r>
    </w:p>
  </w:footnote>
  <w:footnote w:id="1">
    <w:p w:rsidR="0073348A" w:rsidRDefault="0073348A" w:rsidP="0073348A">
      <w:pPr>
        <w:autoSpaceDE w:val="0"/>
        <w:autoSpaceDN w:val="0"/>
        <w:adjustRightInd w:val="0"/>
        <w:spacing w:before="150" w:after="0" w:line="240" w:lineRule="auto"/>
        <w:ind w:left="720" w:right="720"/>
        <w:rPr>
          <w:rFonts w:ascii="Arial" w:hAnsi="Arial" w:cs="Arial"/>
          <w:sz w:val="20"/>
          <w:szCs w:val="20"/>
        </w:rPr>
      </w:pPr>
      <w:r>
        <w:rPr>
          <w:rFonts w:ascii="Arial" w:hAnsi="Arial" w:cs="Arial"/>
          <w:position w:val="6"/>
          <w:sz w:val="20"/>
          <w:szCs w:val="20"/>
        </w:rPr>
        <w:footnoteRef/>
      </w:r>
      <w:proofErr w:type="gramStart"/>
      <w:r>
        <w:rPr>
          <w:rFonts w:ascii="Arial" w:hAnsi="Arial" w:cs="Arial"/>
          <w:sz w:val="20"/>
          <w:szCs w:val="20"/>
        </w:rPr>
        <w:t xml:space="preserve">"Roman Catholic Church," </w:t>
      </w:r>
      <w:r>
        <w:rPr>
          <w:rFonts w:ascii="Arial" w:hAnsi="Arial" w:cs="Arial"/>
          <w:i/>
          <w:iCs/>
          <w:sz w:val="20"/>
          <w:szCs w:val="20"/>
        </w:rPr>
        <w:t>Microsoft® Encarta® 96 Encyclopedia.</w:t>
      </w:r>
      <w:proofErr w:type="gramEnd"/>
      <w:r>
        <w:rPr>
          <w:rFonts w:ascii="Arial" w:hAnsi="Arial" w:cs="Arial"/>
          <w:i/>
          <w:iCs/>
          <w:sz w:val="20"/>
          <w:szCs w:val="20"/>
        </w:rPr>
        <w:t xml:space="preserve"> </w:t>
      </w:r>
      <w:r>
        <w:rPr>
          <w:rFonts w:ascii="Arial" w:hAnsi="Arial" w:cs="Arial"/>
          <w:sz w:val="20"/>
          <w:szCs w:val="20"/>
        </w:rPr>
        <w:t xml:space="preserve">© 1993-1995 Microsoft Corporation. All rights reserved. © Funk &amp; </w:t>
      </w:r>
      <w:proofErr w:type="spellStart"/>
      <w:r>
        <w:rPr>
          <w:rFonts w:ascii="Arial" w:hAnsi="Arial" w:cs="Arial"/>
          <w:sz w:val="20"/>
          <w:szCs w:val="20"/>
        </w:rPr>
        <w:t>Wagnalls</w:t>
      </w:r>
      <w:proofErr w:type="spellEnd"/>
      <w:r>
        <w:rPr>
          <w:rFonts w:ascii="Arial" w:hAnsi="Arial" w:cs="Arial"/>
          <w:sz w:val="20"/>
          <w:szCs w:val="20"/>
        </w:rPr>
        <w:t xml:space="preserve"> Corporation. All rights reserved.</w:t>
      </w:r>
    </w:p>
    <w:p w:rsidR="0073348A" w:rsidRDefault="0073348A" w:rsidP="0073348A">
      <w:pPr>
        <w:autoSpaceDE w:val="0"/>
        <w:autoSpaceDN w:val="0"/>
        <w:adjustRightInd w:val="0"/>
        <w:spacing w:before="150" w:after="0" w:line="240" w:lineRule="auto"/>
        <w:ind w:left="720" w:right="720"/>
        <w:rPr>
          <w:rFonts w:ascii="Arial" w:hAnsi="Arial" w:cs="Arial"/>
          <w:sz w:val="20"/>
          <w:szCs w:val="20"/>
        </w:rPr>
      </w:pPr>
    </w:p>
  </w:footnote>
  <w:footnote w:id="2">
    <w:p w:rsidR="009806BF" w:rsidRDefault="009806BF" w:rsidP="009806BF">
      <w:pPr>
        <w:autoSpaceDE w:val="0"/>
        <w:autoSpaceDN w:val="0"/>
        <w:adjustRightInd w:val="0"/>
        <w:spacing w:before="150" w:after="0" w:line="240" w:lineRule="auto"/>
        <w:ind w:left="720" w:right="720"/>
        <w:rPr>
          <w:rFonts w:ascii="Arial" w:hAnsi="Arial" w:cs="Arial"/>
          <w:sz w:val="20"/>
          <w:szCs w:val="20"/>
        </w:rPr>
      </w:pPr>
      <w:r>
        <w:rPr>
          <w:rFonts w:ascii="Arial" w:hAnsi="Arial" w:cs="Arial"/>
          <w:position w:val="6"/>
          <w:sz w:val="20"/>
          <w:szCs w:val="20"/>
        </w:rPr>
        <w:footnoteRef/>
      </w:r>
      <w:proofErr w:type="gramStart"/>
      <w:r>
        <w:rPr>
          <w:rFonts w:ascii="Arial" w:hAnsi="Arial" w:cs="Arial"/>
          <w:sz w:val="20"/>
          <w:szCs w:val="20"/>
        </w:rPr>
        <w:t xml:space="preserve">"Indulgence," </w:t>
      </w:r>
      <w:r>
        <w:rPr>
          <w:rFonts w:ascii="Arial" w:hAnsi="Arial" w:cs="Arial"/>
          <w:i/>
          <w:iCs/>
          <w:sz w:val="20"/>
          <w:szCs w:val="20"/>
        </w:rPr>
        <w:t>Microsoft® Encarta® 96 Encyclopedia.</w:t>
      </w:r>
      <w:proofErr w:type="gramEnd"/>
      <w:r>
        <w:rPr>
          <w:rFonts w:ascii="Arial" w:hAnsi="Arial" w:cs="Arial"/>
          <w:i/>
          <w:iCs/>
          <w:sz w:val="20"/>
          <w:szCs w:val="20"/>
        </w:rPr>
        <w:t xml:space="preserve"> </w:t>
      </w:r>
      <w:r>
        <w:rPr>
          <w:rFonts w:ascii="Arial" w:hAnsi="Arial" w:cs="Arial"/>
          <w:sz w:val="20"/>
          <w:szCs w:val="20"/>
        </w:rPr>
        <w:t xml:space="preserve">© 1993-1995 Microsoft Corporation. All rights reserved. © Funk &amp; </w:t>
      </w:r>
      <w:proofErr w:type="spellStart"/>
      <w:r>
        <w:rPr>
          <w:rFonts w:ascii="Arial" w:hAnsi="Arial" w:cs="Arial"/>
          <w:sz w:val="20"/>
          <w:szCs w:val="20"/>
        </w:rPr>
        <w:t>Wagnalls</w:t>
      </w:r>
      <w:proofErr w:type="spellEnd"/>
      <w:r>
        <w:rPr>
          <w:rFonts w:ascii="Arial" w:hAnsi="Arial" w:cs="Arial"/>
          <w:sz w:val="20"/>
          <w:szCs w:val="20"/>
        </w:rPr>
        <w:t xml:space="preserve"> Corporation. All rights reserved.</w:t>
      </w:r>
    </w:p>
    <w:p w:rsidR="009806BF" w:rsidRDefault="009806BF" w:rsidP="009806BF">
      <w:pPr>
        <w:autoSpaceDE w:val="0"/>
        <w:autoSpaceDN w:val="0"/>
        <w:adjustRightInd w:val="0"/>
        <w:spacing w:before="150" w:after="0" w:line="240" w:lineRule="auto"/>
        <w:ind w:left="720" w:right="720"/>
        <w:rPr>
          <w:rFonts w:ascii="Arial" w:hAnsi="Arial" w:cs="Arial"/>
          <w:sz w:val="20"/>
          <w:szCs w:val="20"/>
        </w:rPr>
      </w:pPr>
    </w:p>
  </w:footnote>
  <w:footnote w:id="3">
    <w:p w:rsidR="00BF7011" w:rsidRDefault="00BF7011" w:rsidP="00BF7011">
      <w:pPr>
        <w:autoSpaceDE w:val="0"/>
        <w:autoSpaceDN w:val="0"/>
        <w:adjustRightInd w:val="0"/>
        <w:spacing w:before="150" w:after="0" w:line="240" w:lineRule="auto"/>
        <w:ind w:left="720" w:right="720"/>
        <w:rPr>
          <w:rFonts w:ascii="Arial" w:hAnsi="Arial" w:cs="Arial"/>
          <w:sz w:val="20"/>
          <w:szCs w:val="20"/>
        </w:rPr>
      </w:pPr>
      <w:r>
        <w:rPr>
          <w:rFonts w:ascii="Arial" w:hAnsi="Arial" w:cs="Arial"/>
          <w:position w:val="6"/>
          <w:sz w:val="20"/>
          <w:szCs w:val="20"/>
        </w:rPr>
        <w:footnoteRef/>
      </w:r>
      <w:proofErr w:type="gramStart"/>
      <w:r>
        <w:rPr>
          <w:rFonts w:ascii="Arial" w:hAnsi="Arial" w:cs="Arial"/>
          <w:sz w:val="20"/>
          <w:szCs w:val="20"/>
        </w:rPr>
        <w:t xml:space="preserve">"Albert of Brandenburg," </w:t>
      </w:r>
      <w:r>
        <w:rPr>
          <w:rFonts w:ascii="Arial" w:hAnsi="Arial" w:cs="Arial"/>
          <w:i/>
          <w:iCs/>
          <w:sz w:val="20"/>
          <w:szCs w:val="20"/>
        </w:rPr>
        <w:t>Microsoft® Encarta® 96 Encyclopedia.</w:t>
      </w:r>
      <w:proofErr w:type="gramEnd"/>
      <w:r>
        <w:rPr>
          <w:rFonts w:ascii="Arial" w:hAnsi="Arial" w:cs="Arial"/>
          <w:i/>
          <w:iCs/>
          <w:sz w:val="20"/>
          <w:szCs w:val="20"/>
        </w:rPr>
        <w:t xml:space="preserve"> </w:t>
      </w:r>
      <w:r>
        <w:rPr>
          <w:rFonts w:ascii="Arial" w:hAnsi="Arial" w:cs="Arial"/>
          <w:sz w:val="20"/>
          <w:szCs w:val="20"/>
        </w:rPr>
        <w:t xml:space="preserve">© 1993-1995 Microsoft Corporation. All rights reserved. © Funk &amp; </w:t>
      </w:r>
      <w:proofErr w:type="spellStart"/>
      <w:r>
        <w:rPr>
          <w:rFonts w:ascii="Arial" w:hAnsi="Arial" w:cs="Arial"/>
          <w:sz w:val="20"/>
          <w:szCs w:val="20"/>
        </w:rPr>
        <w:t>Wagnalls</w:t>
      </w:r>
      <w:proofErr w:type="spellEnd"/>
      <w:r>
        <w:rPr>
          <w:rFonts w:ascii="Arial" w:hAnsi="Arial" w:cs="Arial"/>
          <w:sz w:val="20"/>
          <w:szCs w:val="20"/>
        </w:rPr>
        <w:t xml:space="preserve"> Corporation. All rights reserved.</w:t>
      </w:r>
    </w:p>
    <w:p w:rsidR="00BF7011" w:rsidRDefault="00BF7011" w:rsidP="00BF7011">
      <w:pPr>
        <w:autoSpaceDE w:val="0"/>
        <w:autoSpaceDN w:val="0"/>
        <w:adjustRightInd w:val="0"/>
        <w:spacing w:before="150" w:after="0" w:line="240" w:lineRule="auto"/>
        <w:ind w:left="720" w:right="720"/>
        <w:rPr>
          <w:rFonts w:ascii="Arial" w:hAnsi="Arial" w:cs="Arial"/>
          <w:sz w:val="20"/>
          <w:szCs w:val="20"/>
        </w:rPr>
      </w:pPr>
    </w:p>
  </w:footnote>
  <w:footnote w:id="4">
    <w:p w:rsidR="00505C84" w:rsidRDefault="00505C84" w:rsidP="00505C84">
      <w:pPr>
        <w:autoSpaceDE w:val="0"/>
        <w:autoSpaceDN w:val="0"/>
        <w:adjustRightInd w:val="0"/>
        <w:spacing w:before="150" w:after="0" w:line="240" w:lineRule="auto"/>
        <w:ind w:left="720" w:right="720"/>
        <w:rPr>
          <w:rFonts w:ascii="Arial" w:hAnsi="Arial" w:cs="Arial"/>
          <w:sz w:val="20"/>
          <w:szCs w:val="20"/>
        </w:rPr>
      </w:pPr>
      <w:r>
        <w:rPr>
          <w:rFonts w:ascii="Arial" w:hAnsi="Arial" w:cs="Arial"/>
          <w:position w:val="6"/>
          <w:sz w:val="20"/>
          <w:szCs w:val="20"/>
        </w:rPr>
        <w:footnoteRef/>
      </w:r>
      <w:proofErr w:type="gramStart"/>
      <w:r>
        <w:rPr>
          <w:rFonts w:ascii="Arial" w:hAnsi="Arial" w:cs="Arial"/>
          <w:sz w:val="20"/>
          <w:szCs w:val="20"/>
        </w:rPr>
        <w:t xml:space="preserve">"Broadside," </w:t>
      </w:r>
      <w:r>
        <w:rPr>
          <w:rFonts w:ascii="Arial" w:hAnsi="Arial" w:cs="Arial"/>
          <w:i/>
          <w:iCs/>
          <w:sz w:val="20"/>
          <w:szCs w:val="20"/>
        </w:rPr>
        <w:t>Microsoft® Encarta® 96 Encyclopedia.</w:t>
      </w:r>
      <w:proofErr w:type="gramEnd"/>
      <w:r>
        <w:rPr>
          <w:rFonts w:ascii="Arial" w:hAnsi="Arial" w:cs="Arial"/>
          <w:i/>
          <w:iCs/>
          <w:sz w:val="20"/>
          <w:szCs w:val="20"/>
        </w:rPr>
        <w:t xml:space="preserve"> </w:t>
      </w:r>
      <w:r>
        <w:rPr>
          <w:rFonts w:ascii="Arial" w:hAnsi="Arial" w:cs="Arial"/>
          <w:sz w:val="20"/>
          <w:szCs w:val="20"/>
        </w:rPr>
        <w:t xml:space="preserve">© 1993-1995 Microsoft Corporation. All rights reserved. © Funk &amp; </w:t>
      </w:r>
      <w:proofErr w:type="spellStart"/>
      <w:r>
        <w:rPr>
          <w:rFonts w:ascii="Arial" w:hAnsi="Arial" w:cs="Arial"/>
          <w:sz w:val="20"/>
          <w:szCs w:val="20"/>
        </w:rPr>
        <w:t>Wagnalls</w:t>
      </w:r>
      <w:proofErr w:type="spellEnd"/>
      <w:r>
        <w:rPr>
          <w:rFonts w:ascii="Arial" w:hAnsi="Arial" w:cs="Arial"/>
          <w:sz w:val="20"/>
          <w:szCs w:val="20"/>
        </w:rPr>
        <w:t xml:space="preserve"> Corporation. All rights reserved.</w:t>
      </w:r>
    </w:p>
    <w:p w:rsidR="00505C84" w:rsidRDefault="00505C84" w:rsidP="00505C84">
      <w:pPr>
        <w:autoSpaceDE w:val="0"/>
        <w:autoSpaceDN w:val="0"/>
        <w:adjustRightInd w:val="0"/>
        <w:spacing w:before="150" w:after="0" w:line="240" w:lineRule="auto"/>
        <w:ind w:left="720" w:right="720"/>
        <w:rPr>
          <w:rFonts w:ascii="Arial" w:hAnsi="Arial" w:cs="Arial"/>
          <w:sz w:val="20"/>
          <w:szCs w:val="20"/>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BF7011"/>
    <w:rsid w:val="00036B46"/>
    <w:rsid w:val="001C1D78"/>
    <w:rsid w:val="00505C84"/>
    <w:rsid w:val="00601694"/>
    <w:rsid w:val="0073348A"/>
    <w:rsid w:val="009806BF"/>
    <w:rsid w:val="009D6EB4"/>
    <w:rsid w:val="00A518F6"/>
    <w:rsid w:val="00BF7011"/>
    <w:rsid w:val="00EC09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69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435</Words>
  <Characters>2482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8</cp:revision>
  <dcterms:created xsi:type="dcterms:W3CDTF">2016-12-17T13:01:00Z</dcterms:created>
  <dcterms:modified xsi:type="dcterms:W3CDTF">2016-12-17T13:21:00Z</dcterms:modified>
</cp:coreProperties>
</file>