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2F2" w:rsidRDefault="00BC52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Haiti's Experiment with Democracy Subverted Once Again</w:t>
      </w:r>
    </w:p>
    <w:p w:rsidR="00BC52F2" w:rsidRDefault="00BC52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Erich Marquardt</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Aristide's opposition, working together under an umbrella group called the Democratic Platform, contested the results of the country's 2000 parliament elections, in which Aristide's Lavalas Family party won major gains. During the presidential elections that shortly followed, Aristide won again, but Haiti's opposition groups largely boycotted the polls, putting them in a position to claim that Aristide was not a true democratic leader. Once opponents to Aristide's rule began marching through the streets in mass demonstrations, many of Aristide's supporters used violence against them in order to forcefully quell the protests.</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2004 came around, the Democratic Platform had launched successful work strikes in the country, weakening Aristide's power. Furthermore, the fact that the international community, and especially the United States, had placed an economic embargo on Haiti also worked to diminish Aristide's rule and make him look like an impotent leader. Washington, which has always considered Aristide an unpredictable populist leader, placed a near total embargo on the country after the 2000 elections, even blocking loans from the Inter-American Development Bank for improvements in roads, health care and education. For a country as desperate and reliant on handouts as Haiti, such actions can devastate an already damaged country.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As the rebels continued to demonstrate their supremacy, and the Democratic Platform continued to press for Aristide's removal, it became increasingly obvious that Aristide's hold on power was quickly coming to an end. It was at this time that the Bush administration had the opportunity to take the wind out of the sails of the rebel army. However, instead of supporting Aristide's democratic rule, the administration purposely allowed time for Aristide's opposition to continue to turn the odds in their favor.   . . .</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PINR approaches a subject based upon the powers and interests involved, leaving the moral judgments to the reader.</w:t>
      </w:r>
    </w:p>
    <w:p w:rsidR="00BC52F2" w:rsidRDefault="00BC52F2">
      <w:pPr>
        <w:widowControl w:val="0"/>
        <w:autoSpaceDE w:val="0"/>
        <w:autoSpaceDN w:val="0"/>
        <w:adjustRightInd w:val="0"/>
        <w:spacing w:after="0" w:line="240" w:lineRule="auto"/>
        <w:rPr>
          <w:rFonts w:ascii="Arial" w:hAnsi="Arial" w:cs="Arial"/>
          <w:sz w:val="8"/>
          <w:szCs w:val="8"/>
        </w:rPr>
      </w:pPr>
    </w:p>
    <w:p w:rsidR="00BC52F2" w:rsidRDefault="00BC52F2">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0"/>
          <w:szCs w:val="20"/>
        </w:rPr>
        <w:t xml:space="preserve">          --- http://pinr.com/report.php?ac=view_printable&amp;report_id=148&amp;language_id=1</w:t>
      </w:r>
    </w:p>
    <w:p w:rsidR="00BC52F2" w:rsidRDefault="00BC52F2">
      <w:pPr>
        <w:widowControl w:val="0"/>
        <w:autoSpaceDE w:val="0"/>
        <w:autoSpaceDN w:val="0"/>
        <w:adjustRightInd w:val="0"/>
        <w:spacing w:after="0" w:line="240" w:lineRule="auto"/>
        <w:rPr>
          <w:rFonts w:ascii="Times New Roman" w:hAnsi="Times New Roman" w:cs="Times New Roman"/>
          <w:sz w:val="12"/>
          <w:szCs w:val="12"/>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12"/>
          <w:szCs w:val="12"/>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India’s RAW and Pakistan’s ISI:</w:t>
      </w:r>
    </w:p>
    <w:p w:rsidR="00BC52F2" w:rsidRDefault="00BC52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Implications of the Use of Proxy Armies in South Asia</w:t>
      </w:r>
    </w:p>
    <w:p w:rsidR="00BC52F2" w:rsidRDefault="00BC52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Prudence F. Bruns PhD    -    SASA Conference  -  April 3, 2009</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Secretly funding, arming and training proxy militias, RAW and ISI pursue their own hidden agendas. But do they pursue these agendas alone or are they aided by one or more of the world’s other clandestine agencies, such as the CIA, Israel’s Mossad, Russia’s GRU, Iran’s Amniat-e Keshvar, etc.? One also has to wonder who at this point is the aggressor and who the defender? Who is the victim and who the culprit?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RAW   . . .   would dedicate its first mission as a newly formed external intelligence agency to assisting the Bengali-speaking rebels of East Pakistan, under the umbrella of the Mukti Bahini, in their efforts to separate from Pakistan resulting in the independent state of Bangladesh in 1971. According to Raman, RAW performed this operation partially in response to the ISI’s intrusive activities in India’s Northeast. Apparently, Indira Gandhi believed it would provide a deterrent to the ISI when in fact, it only caused a greater escalation in the continued use of proxies between the two agencies.     . . .</w:t>
      </w: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CIA would train many of RAW’s first operatives, and Indira Gandhi would secretly ask RN Kao to cultivate Israel’s Mossad, a lasting relationship referred to as “hand in glove.”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Between 1983-1993, RAW’s agents along with the various members of its proxy sectarian and ethnic groups of Sindh and Punjab origins consisted of 35,000 with 12,000 working in Sindh, 10,000 in Punjab, 8,000 in the North West Frontier Province and 5,000 in Baluchistan. RAW ran as many as 40 terrorist training camps at Rajasthan, east Punjab in Qadian, Jammu and Kashmir, Uttar Pradesh and other parts of India. With KGB assistance, RAW was able to arrange terrorist attacks in Pakistani cities and accelerate destabilizing activities from the various proxy groups throughout the Afghan war.    . . .</w:t>
      </w:r>
    </w:p>
    <w:p w:rsidR="00BC52F2" w:rsidRDefault="00BC52F2">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ab/>
      </w: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---http://www.prudencefbruns.com/resources/Publications/India's%20RAW%20and%20Pakistan's%20ISI.pdf</w:t>
      </w: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Case for Restraint</w:t>
      </w:r>
    </w:p>
    <w:p w:rsidR="00BC52F2" w:rsidRDefault="00BC52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Barry R. Posen, Ford International Professor of Political Science, Director Security Studies Program MIT    -    The American Interest - Nov/Dec 2007</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Whatever else it may achieve, U.S. activism is bound to discomfit other states. The great preponderance of U.S. power makes direct opposition to the United States difficult and dangerous, but other states are doing what they can to put themselves in a better position. Some fear U.S. freedom of action, worry about the possibility of being drawn into policies inimical to their interests, and so wish to distance themselves from the United States — even as they free-ride within the broader U.S. security umbrella.</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European Union has gradually strengthened its military capabilities so that it can get along without the United States if it must.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Not only does an activist foreign and security policy make the United States the most obvious unkind face of globalization, political entrepreneurs in the developing world will find it expedient to attribute the difficulties experienced by their target populations to the actions of the United States.   . . .     The activist U.S. grand strategy     . . .   prompts states to balance against U.S. power however they can, and it prompts peoples to imagine that the United States is the source of all their troubles.    . . .   The United States should try doing less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U.S. security guarantees and security assistance    . . .  often  . . .   enable others to pursue policies that are unhelpful to the United States. The United States should stop offering such guarantees and assistance.    . . .</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http://www.the-american-interest.com/article.cfm?piece=331</w:t>
      </w: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Bloom, Kierkegaard, and the Educational Quest</w:t>
      </w:r>
    </w:p>
    <w:p w:rsidR="00BC52F2" w:rsidRDefault="00BC52F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Patricia Rohrer, Teachers College, Columbia University</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Closing of the American Mind, Allan Bloom laments the current emphasis on the tolerance for diversity, or "openness" as he calls it, in the education of American youth. This democratic accommodation of all points of view has led to a cultural relativism that has "extinguished the real motive of education, the search for a good life," thus stifling the longing for knowledge.</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Intended to protect individual views, the educational commitment to neutrality does not contribute to the meaningfulness of individual lives. Rather, it gives rise to the educational malaise of indifference. </w:t>
      </w:r>
      <w:r>
        <w:rPr>
          <w:rFonts w:ascii="Arial" w:hAnsi="Arial" w:cs="Arial"/>
          <w:sz w:val="20"/>
          <w:szCs w:val="20"/>
        </w:rPr>
        <w:lastRenderedPageBreak/>
        <w:t>Bloom's call for a return to a traditional education centered on the values of Western civilization is aimed at rekindling the passion at the heart of the pursuit of knowledge and self-discovery, to renew the philosophical quest for the answer to the Socratic question of how one should live.    . . .</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prevailing sentiment seems to be, however, that encouraging a passionate belief in how one should live is just too hot for education to handle.   . . .</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Bloom's view of "the big questions" the source of the answers is the universal truth of the Western tradition. As Kierkegaard does not appeal to the universal, Bloom might brand his thought relativist. But the passion of subjectivity bears little resemblance to the neutral relativism of objectivity Bloom deplores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For Bloom, the study of the humanities is the pursuit of "the important truth," and recognizing the claim of the classics to hold this truth enables each seeker of wisdom to connect his personal longing with the "intuition of the comprehensive order of things." Kierkegaard's notion of truth is very different from the metaphysical umbrella Bloom would resurrect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Kierkegaard's account of the god-relationship might illuminate a common human experience - the longing to be connected to what Charles Taylor calls "the ultimately important."  . . .</w:t>
      </w: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16"/>
          <w:szCs w:val="16"/>
        </w:rPr>
      </w:pPr>
    </w:p>
    <w:p w:rsidR="00BC52F2" w:rsidRDefault="00BC52F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Bloom and others have attempted to show that democratic pluralism and educational multiculturalism inevitably lead to a "cultural relativism" that would undermine not only "traditional values," but any attempt at "moral unity" in education that does not rely on a universal truth.</w:t>
      </w:r>
    </w:p>
    <w:p w:rsidR="00BC52F2" w:rsidRDefault="00BC52F2">
      <w:pPr>
        <w:widowControl w:val="0"/>
        <w:autoSpaceDE w:val="0"/>
        <w:autoSpaceDN w:val="0"/>
        <w:adjustRightInd w:val="0"/>
        <w:spacing w:after="0" w:line="240" w:lineRule="auto"/>
        <w:rPr>
          <w:rFonts w:ascii="Arial" w:hAnsi="Arial" w:cs="Arial"/>
          <w:sz w:val="8"/>
          <w:szCs w:val="8"/>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http://www.ed.uiuc.edu/EPS/PES-Yearbook/96_docs/rohrer.html</w:t>
      </w: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Bible sheds some interesting light on the subject of human government. In the beginning, the nation of Israel was not governed by human beings. Moses served as sort of a governor, and he delegated authority to other judges, but in reality, Israel was ruled directly by God. It was a theocracy, where the law was the Word of God and the final court of appeal was the throne room of the Almighty.   . . .  God actually ruled His people directly. And the Bible says, in the book of Exodus, chapter 25, that the literal presence of God would come down into the Most Holy Place, and there, from above the Ark of the Covenant, God would give Moses instructions for the people to follow. The Bible says in Exodus 25 and verse 22:</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ind w:left="1440" w:right="1440"/>
        <w:rPr>
          <w:rFonts w:ascii="Arial" w:hAnsi="Arial" w:cs="Arial"/>
          <w:sz w:val="12"/>
          <w:szCs w:val="12"/>
        </w:rPr>
      </w:pPr>
      <w:r>
        <w:rPr>
          <w:rFonts w:ascii="Arial" w:hAnsi="Arial" w:cs="Arial"/>
          <w:sz w:val="20"/>
          <w:szCs w:val="20"/>
        </w:rPr>
        <w:t xml:space="preserve">"And there I will meet with thee, and I will commune with thee from above the mercy seat, from between the two cherubims, which are upon the ark of the testimony, of all things which I will give thee in commandment unto the children of Israel." </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a direct line of government from the throne room of God to the children of Israel. And of course, you couldn't ask for a better form of government than to have a loving God at the helm of your nation.</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God's long-range plan, if Israel proved to be obedient, was to help that nation prosper to such an extent that the whole world would sit up and take notice. By placing Israel in the crossroads of the ancient world, He wanted to create a public display of His goodness and mercy that would attract the attention of other nations.</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eventually, the entire world would be collected together under the umbrella of God's saving love. As the world observed the temple and its sacrificial rituals, they would catch a glimpse of God's plan to save sinners through the sacrifice of a coming Messiah. And as the world noticed the peace and prosperity of a nation immersed in a relationship with God, they would also realize their need for a similar relationship.</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sad record of the Bible is that the children of Israel chose a different path. Instead of attracting other nations to their God-centered form of government, they wanted a king like the pagan nations around them.</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story is told in the Book of First Samuel, chapter eight, where the elders of Israel were afraid that once Samuel died, there would be nobody to provide the nation with guidance. So they demanded a king.</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Here is how the Bible tells the story in First Samuel, chapter eight and verse four(1 Samuel 8:4):</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ind w:left="1440" w:right="1440"/>
        <w:rPr>
          <w:rFonts w:ascii="Arial" w:hAnsi="Arial" w:cs="Arial"/>
          <w:sz w:val="12"/>
          <w:szCs w:val="12"/>
        </w:rPr>
      </w:pPr>
      <w:r>
        <w:rPr>
          <w:rFonts w:ascii="Arial" w:hAnsi="Arial" w:cs="Arial"/>
          <w:sz w:val="20"/>
          <w:szCs w:val="20"/>
        </w:rPr>
        <w:t xml:space="preserve">"Then all the elders of Israel gathered together and came to Samuel at Ramah, and said to him, 'Look, you are old, and your sons do not walk in your ways. Now make for us a king to judge us like all the nations.' But the thing displeased Samuel when they said, 'Give us a king to judge us.' So Samuel prayed to the Lord. And the Lord said to Samuel, 'Heed the voice of the people in all that they say to you; for they have not rejected you, but they have rejected Me, that I should not reign over them."' </w:t>
      </w:r>
    </w:p>
    <w:p w:rsidR="00BC52F2" w:rsidRDefault="00BC52F2">
      <w:pPr>
        <w:widowControl w:val="0"/>
        <w:autoSpaceDE w:val="0"/>
        <w:autoSpaceDN w:val="0"/>
        <w:adjustRightInd w:val="0"/>
        <w:spacing w:after="0" w:line="240" w:lineRule="auto"/>
        <w:rPr>
          <w:rFonts w:ascii="Arial" w:hAnsi="Arial" w:cs="Arial"/>
          <w:sz w:val="12"/>
          <w:szCs w:val="12"/>
        </w:rPr>
      </w:pP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Try to imagine the heartache in the courts of heaven when God's own chosen people doubted God's ability to govern them. With deliberate blindness, they turned away from the amazing record of God's goodness to them, from the parting of the Red Sea to the crossing of the Jordan, and they decided to take matters into their own hands.</w:t>
      </w:r>
    </w:p>
    <w:p w:rsidR="00BC52F2" w:rsidRDefault="00BC52F2">
      <w:pPr>
        <w:widowControl w:val="0"/>
        <w:autoSpaceDE w:val="0"/>
        <w:autoSpaceDN w:val="0"/>
        <w:adjustRightInd w:val="0"/>
        <w:spacing w:after="0" w:line="240" w:lineRule="auto"/>
        <w:rPr>
          <w:rFonts w:ascii="Arial" w:hAnsi="Arial" w:cs="Arial"/>
          <w:sz w:val="20"/>
          <w:szCs w:val="20"/>
        </w:rPr>
      </w:pPr>
    </w:p>
    <w:p w:rsidR="00BC52F2" w:rsidRDefault="00BC52F2">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And that of course is the story of human history since the moment Adam and Eve chose to doubt God's Word. God had given them careful instructions, and yet they chose to follow their own path. And we all know how that turned out.</w:t>
      </w:r>
    </w:p>
    <w:p w:rsidR="00BC52F2" w:rsidRDefault="00BC52F2">
      <w:pPr>
        <w:widowControl w:val="0"/>
        <w:autoSpaceDE w:val="0"/>
        <w:autoSpaceDN w:val="0"/>
        <w:adjustRightInd w:val="0"/>
        <w:spacing w:after="0" w:line="240" w:lineRule="auto"/>
        <w:rPr>
          <w:rFonts w:ascii="Times New Roman" w:hAnsi="Times New Roman" w:cs="Times New Roman"/>
          <w:sz w:val="8"/>
          <w:szCs w:val="8"/>
        </w:rPr>
      </w:pPr>
    </w:p>
    <w:p w:rsidR="00BC52F2" w:rsidRDefault="00BC52F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http://www.itiswritten.com/tvprogram/episode/2007/06/1030</w:t>
      </w:r>
    </w:p>
    <w:p w:rsidR="00BC52F2" w:rsidRDefault="00BC52F2">
      <w:pPr>
        <w:widowControl w:val="0"/>
        <w:autoSpaceDE w:val="0"/>
        <w:autoSpaceDN w:val="0"/>
        <w:adjustRightInd w:val="0"/>
        <w:spacing w:after="0" w:line="240" w:lineRule="auto"/>
        <w:rPr>
          <w:rFonts w:ascii="Times New Roman" w:hAnsi="Times New Roman" w:cs="Times New Roman"/>
          <w:sz w:val="28"/>
          <w:szCs w:val="28"/>
        </w:rPr>
      </w:pPr>
    </w:p>
    <w:p w:rsidR="00BC52F2" w:rsidRDefault="00BC52F2">
      <w:pPr>
        <w:widowControl w:val="0"/>
        <w:autoSpaceDE w:val="0"/>
        <w:autoSpaceDN w:val="0"/>
        <w:adjustRightInd w:val="0"/>
        <w:spacing w:after="0" w:line="240" w:lineRule="auto"/>
        <w:rPr>
          <w:rFonts w:ascii="Times New Roman" w:hAnsi="Times New Roman" w:cs="Times New Roman"/>
          <w:sz w:val="28"/>
          <w:szCs w:val="28"/>
        </w:rPr>
      </w:pPr>
    </w:p>
    <w:p w:rsidR="00BC52F2" w:rsidRDefault="00BC52F2">
      <w:pPr>
        <w:widowControl w:val="0"/>
        <w:autoSpaceDE w:val="0"/>
        <w:autoSpaceDN w:val="0"/>
        <w:adjustRightInd w:val="0"/>
        <w:spacing w:after="0" w:line="240" w:lineRule="auto"/>
        <w:rPr>
          <w:rFonts w:ascii="Times New Roman" w:hAnsi="Times New Roman" w:cs="Times New Roman"/>
          <w:sz w:val="28"/>
          <w:szCs w:val="28"/>
        </w:rPr>
      </w:pPr>
    </w:p>
    <w:p w:rsidR="00BC52F2" w:rsidRDefault="00BC52F2">
      <w:pPr>
        <w:widowControl w:val="0"/>
        <w:autoSpaceDE w:val="0"/>
        <w:autoSpaceDN w:val="0"/>
        <w:adjustRightInd w:val="0"/>
        <w:spacing w:after="0" w:line="240" w:lineRule="auto"/>
        <w:rPr>
          <w:rFonts w:ascii="Times New Roman" w:hAnsi="Times New Roman" w:cs="Times New Roman"/>
          <w:sz w:val="24"/>
          <w:szCs w:val="24"/>
        </w:rPr>
      </w:pPr>
    </w:p>
    <w:p w:rsidR="00BC52F2" w:rsidRDefault="00BC52F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C52F2" w:rsidRDefault="00BC52F2">
      <w:pPr>
        <w:widowControl w:val="0"/>
        <w:autoSpaceDE w:val="0"/>
        <w:autoSpaceDN w:val="0"/>
        <w:adjustRightInd w:val="0"/>
        <w:spacing w:after="0" w:line="240" w:lineRule="auto"/>
        <w:rPr>
          <w:rFonts w:ascii="Times New Roman" w:hAnsi="Times New Roman" w:cs="Times New Roman"/>
          <w:sz w:val="34"/>
          <w:szCs w:val="34"/>
        </w:rPr>
      </w:pPr>
    </w:p>
    <w:p w:rsidR="00BC52F2" w:rsidRDefault="00BC52F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C52F2" w:rsidSect="00BC52F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2F2" w:rsidRDefault="00BC52F2" w:rsidP="00BC52F2">
      <w:pPr>
        <w:spacing w:after="0" w:line="240" w:lineRule="auto"/>
      </w:pPr>
      <w:r>
        <w:separator/>
      </w:r>
    </w:p>
  </w:endnote>
  <w:endnote w:type="continuationSeparator" w:id="0">
    <w:p w:rsidR="00BC52F2" w:rsidRDefault="00BC52F2" w:rsidP="00BC52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2F2" w:rsidRDefault="00BC52F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2F2" w:rsidRDefault="00BC52F2" w:rsidP="00BC52F2">
      <w:pPr>
        <w:spacing w:after="0" w:line="240" w:lineRule="auto"/>
      </w:pPr>
      <w:r>
        <w:separator/>
      </w:r>
    </w:p>
  </w:footnote>
  <w:footnote w:type="continuationSeparator" w:id="0">
    <w:p w:rsidR="00BC52F2" w:rsidRDefault="00BC52F2" w:rsidP="00BC52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2F2" w:rsidRDefault="00BC52F2">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52F2"/>
    <w:rsid w:val="007D0149"/>
    <w:rsid w:val="00BC52F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1811</Words>
  <Characters>10324</Characters>
  <Application>Microsoft Office Word</Application>
  <DocSecurity>0</DocSecurity>
  <Lines>86</Lines>
  <Paragraphs>24</Paragraphs>
  <ScaleCrop>false</ScaleCrop>
  <Company/>
  <LinksUpToDate>false</LinksUpToDate>
  <CharactersWithSpaces>12111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2016-05-16T14:42:00Z</dcterms:created>
  <dcterms:modified xsi:type="dcterms:W3CDTF">2016-05-16T14:42:00Z</dcterms:modified>
</cp:coreProperties>
</file>