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By Robert Babe:</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1917    . . .   acting on the advice of Walter Lippmann, the Wilson Administration created the Committee on Public Information (CPI) as the government's propaganda arm for the Great War. CPI produced hundreds of ads promoting the war effort and pressured newspapers into giving it free advertising space. It distributed thousands of official news releases and war-related public interest stories. It even published its own newspaper (Ewan 1996:111-113). Meanwhile, the commercial press was "continually silenced by orders and prosecutions;" war critics were arrested, "often without warrants, hustled off to jail, held incommunicado without bail …" (Beard and Beard 1930).</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years, however, were not exceptional. They were, rather, fulfilling a nascent "control revolution" (Beniger 1986) that began prior to the turn of the century whereby image-based advertising of addictive and non-addictive branded products presented "a nether realm between truth and falsehood … The world of advertisements," according to Jackson Lears (1983), "gradually acquired an Alice-in-Wonderland quality" (p.21)—harbinger of postmodernist simulacra.    . . .</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Chicago theorists' influence waned by the early 1930s. It became increasingly difficult to sustain a posture of inevitable progress through advancing technology in the face of World War I devastations, the use of media for advertising, public relations and propaganda, and the onset of the Great Depression. Not to be discounted, as well, was the impact of Lippmann's Public Opinion. Reviewing the book in 1922, Dewey himself declared: "The manner of presentation is so objective and projective, that one finishes the book almost without realizing that it is perhaps the most effective indictment of democracy as currently conceived ever penned" (Dewey 1922).    . . .</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World War II, likewise, was a boon to the new breed of media scholars, many of whom were complicit with the U.S. government's propaganda activities during and continuing after that war. Simpson (1994) lists the following, among others, as eminent American communication/media scholars working for or with the U.S. military on psychological warfare during World War II: Harold Lasswell, Hadley Cantril, Rensis Likert, Leonard Doob, Wilbur Schramm, Leo Lowenthal, Paul Felix Lazarsfeld, Frank Stanton, George Gallup, Elmo Roper, Ithiel de Sola Pool, Daniel Lerner, Edward Shils, Carl Hovland, Louis Gutman, Robert Merton (pp. 26-9)—a virtual Who's Who of American communication studies.    . . .</w:t>
      </w:r>
    </w:p>
    <w:p w:rsidR="007640D0" w:rsidRDefault="007640D0">
      <w:pPr>
        <w:widowControl w:val="0"/>
        <w:autoSpaceDE w:val="0"/>
        <w:autoSpaceDN w:val="0"/>
        <w:adjustRightInd w:val="0"/>
        <w:spacing w:before="100" w:after="10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official policy circles, the United States for decades has championed international "free flow" of information, albeit a "free flow" encumbered by stringent copyright, and has justified that position with two principal contentions. First, it has claimed that "free flow" of information and individual liberty in accessing informational artifacts are the sine qua non of democracy and of individual liberty/human rights; emerging media, viewed from this perspective, are "technologies of freedom" (Pool 1990), certainly not instruments of oppression, domination, empire, and control.   . . .  </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doctrine positively promoting global media expansion:  Such was the political-economic import of the "media transfer model" as developed and promoted by luminaries bankrolled by the U.S. military and CIA like Elihu Katz, Wilbur Schramm, Lucien Pye, and Ithiel de Sola Pool. MIT's de Sola Pool </w:t>
      </w:r>
      <w:r>
        <w:rPr>
          <w:rFonts w:ascii="Arial" w:hAnsi="Arial" w:cs="Arial"/>
          <w:sz w:val="20"/>
          <w:szCs w:val="20"/>
        </w:rPr>
        <w:lastRenderedPageBreak/>
        <w:t>(1966), for example, insisted that "where radio goes, there modernization attitudes come" (pp. 106-110). Radio audiences in Third World countries, according to these theorists, after being continually exposed to western media, will wish to imitate modern (i.e., western) attitudes and behavior and to cast off obsolete indigenous customs that inhibit economic expansion. The loss of customs and traditions that this entails is much to be desired, in the view of these scholars. Alienation and dislocation, loss of referents, social and cultural upheaval, loss of sovereignty and extension of American influence were concomitants largely unmentioned by these media transfer theorists (Sussman and Lent 1991:5-6).</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recently, in a rare but deservedly renowned public utterance, State Department officials cast a rather different light on America's cultural exports and by implication on the media transfer model. Characterizing media exports as "soft power" (defined as "the ability to achieve desired outcomes in international affairs through attraction rather than coercion") Nye and Owens (1996) deemed soft power to be as important as armaments in America's quest for world domination, perhaps explaining, too, why so much of the innovation in communication media over the past hundred years—radio transmissions, satellites, computers, the internet—is traceable to the U.S. military (Mattelart 1994).</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Arguably postmodernist thought is the emerging ontology of our era    . . .  Their discourses arose, however, not merely in response to recognition of the problematic nature of language with regard to mapping external reality   . . .   but also, often, out of deep-seated dissatisfactions with what went before, namely Enlightenment thinking and harmful consequences stemming from that: weaponry, class injustices, individualism, utilitarianism and the concomitant breakdown of community, environmental despoliation, and so on.</w:t>
      </w:r>
    </w:p>
    <w:p w:rsidR="007640D0" w:rsidRDefault="007640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long before postmodernist writers came on the scene, the Enlightenment project of knowledge for power had critics: Marx criticized the injustices of Baconian instrumentalism and rationality, Durkheim the anomie, and Thoreau the environmental degradation.</w:t>
      </w:r>
    </w:p>
    <w:p w:rsidR="007640D0" w:rsidRDefault="007640D0">
      <w:pPr>
        <w:widowControl w:val="0"/>
        <w:autoSpaceDE w:val="0"/>
        <w:autoSpaceDN w:val="0"/>
        <w:adjustRightInd w:val="0"/>
        <w:spacing w:after="0" w:line="240" w:lineRule="auto"/>
        <w:rPr>
          <w:rFonts w:ascii="Arial" w:hAnsi="Arial" w:cs="Arial"/>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http://www.uta.edu/huma/agger/fastcapitalism/2_1/babe.htm</w:t>
      </w: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20"/>
          <w:szCs w:val="20"/>
        </w:rPr>
      </w:pPr>
    </w:p>
    <w:p w:rsidR="007640D0" w:rsidRDefault="007640D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640D0" w:rsidRDefault="007640D0">
      <w:pPr>
        <w:widowControl w:val="0"/>
        <w:autoSpaceDE w:val="0"/>
        <w:autoSpaceDN w:val="0"/>
        <w:adjustRightInd w:val="0"/>
        <w:spacing w:after="0" w:line="240" w:lineRule="auto"/>
        <w:rPr>
          <w:rFonts w:ascii="Times New Roman" w:hAnsi="Times New Roman" w:cs="Times New Roman"/>
          <w:sz w:val="34"/>
          <w:szCs w:val="34"/>
        </w:rPr>
      </w:pPr>
    </w:p>
    <w:p w:rsidR="007640D0" w:rsidRDefault="007640D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640D0" w:rsidSect="007640D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81E" w:rsidRDefault="00B3381E" w:rsidP="007640D0">
      <w:pPr>
        <w:spacing w:after="0" w:line="240" w:lineRule="auto"/>
      </w:pPr>
      <w:r>
        <w:separator/>
      </w:r>
    </w:p>
  </w:endnote>
  <w:endnote w:type="continuationSeparator" w:id="0">
    <w:p w:rsidR="00B3381E" w:rsidRDefault="00B3381E" w:rsidP="00764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D0" w:rsidRDefault="007640D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81E" w:rsidRDefault="00B3381E" w:rsidP="007640D0">
      <w:pPr>
        <w:spacing w:after="0" w:line="240" w:lineRule="auto"/>
      </w:pPr>
      <w:r>
        <w:separator/>
      </w:r>
    </w:p>
  </w:footnote>
  <w:footnote w:type="continuationSeparator" w:id="0">
    <w:p w:rsidR="00B3381E" w:rsidRDefault="00B3381E" w:rsidP="007640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0D0" w:rsidRDefault="007640D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40D0"/>
    <w:rsid w:val="007640D0"/>
    <w:rsid w:val="00B3381E"/>
    <w:rsid w:val="00D515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2016-11-11T16:07:00Z</dcterms:created>
  <dcterms:modified xsi:type="dcterms:W3CDTF">2016-11-11T16:07:00Z</dcterms:modified>
</cp:coreProperties>
</file>