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A7A" w:rsidRDefault="006C0A7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Egyptians analyzed the population and material wealth of their country before beginning to build the pyramids in the 31st century BC.</w:t>
      </w:r>
    </w:p>
    <w:p w:rsidR="006C0A7A" w:rsidRDefault="006C0A7A">
      <w:pPr>
        <w:widowControl w:val="0"/>
        <w:autoSpaceDE w:val="0"/>
        <w:autoSpaceDN w:val="0"/>
        <w:adjustRightInd w:val="0"/>
        <w:spacing w:after="0" w:line="240" w:lineRule="auto"/>
        <w:rPr>
          <w:rFonts w:ascii="Times New Roman" w:hAnsi="Times New Roman" w:cs="Times New Roman"/>
          <w:sz w:val="20"/>
          <w:szCs w:val="20"/>
        </w:rPr>
      </w:pP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Pre-Columbian and post-Columbian Native American art and architecture evince a concern with the relation both of the structure to its environment and of the object to its material. This regard for nature resulted in an aesthetic rooted in an awareness of natural dualities—day and night, sun and moon, land and water, life and death. The tension in most Native American art, therefore, is derived from the contrast of opposing design elements such as light and dark, open and closed compositions, the static form and the mobile form, the realistic and the abstract, and the plain and the ornate.</w:t>
      </w: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p>
    <w:p w:rsidR="006C0A7A" w:rsidRDefault="006C0A7A">
      <w:pPr>
        <w:widowControl w:val="0"/>
        <w:autoSpaceDE w:val="0"/>
        <w:autoSpaceDN w:val="0"/>
        <w:adjustRightInd w:val="0"/>
        <w:spacing w:after="0" w:line="240" w:lineRule="auto"/>
        <w:rPr>
          <w:rFonts w:ascii="Arial" w:hAnsi="Arial" w:cs="Arial"/>
          <w:sz w:val="16"/>
          <w:szCs w:val="16"/>
        </w:rPr>
      </w:pPr>
      <w:r>
        <w:rPr>
          <w:rFonts w:ascii="Arial" w:hAnsi="Arial" w:cs="Arial"/>
          <w:sz w:val="17"/>
          <w:szCs w:val="17"/>
        </w:rPr>
        <w:t xml:space="preserve">As Christian theology began to emerge in the 3rd and 4th centuries, the problem of evil became particularly challenging because Christianity was committed to the existence of an all-powerful, benevolent God but at the same time acknowledged the real existence of evil. </w:t>
      </w:r>
      <w:r>
        <w:rPr>
          <w:rFonts w:ascii="Arial" w:hAnsi="Arial" w:cs="Arial"/>
          <w:color w:val="FF0000"/>
          <w:sz w:val="17"/>
          <w:szCs w:val="17"/>
        </w:rPr>
        <w:t>At the end of the 4th century St. Augustine formulated the solution that has had the greatest influence on subsequent Christian thinkers.</w:t>
      </w:r>
      <w:r>
        <w:rPr>
          <w:rFonts w:ascii="Arial" w:hAnsi="Arial" w:cs="Arial"/>
          <w:sz w:val="17"/>
          <w:szCs w:val="17"/>
        </w:rPr>
        <w:t xml:space="preserve"> As a young man, Augustine had accepted the dualistic theology of Manichaeism.</w:t>
      </w:r>
    </w:p>
    <w:p w:rsidR="006C0A7A" w:rsidRDefault="006C0A7A">
      <w:pPr>
        <w:widowControl w:val="0"/>
        <w:autoSpaceDE w:val="0"/>
        <w:autoSpaceDN w:val="0"/>
        <w:adjustRightInd w:val="0"/>
        <w:spacing w:after="0" w:line="240" w:lineRule="auto"/>
        <w:rPr>
          <w:rFonts w:ascii="Arial" w:hAnsi="Arial" w:cs="Arial"/>
          <w:sz w:val="16"/>
          <w:szCs w:val="16"/>
        </w:rPr>
      </w:pPr>
    </w:p>
    <w:p w:rsidR="006C0A7A" w:rsidRDefault="006C0A7A">
      <w:pPr>
        <w:widowControl w:val="0"/>
        <w:autoSpaceDE w:val="0"/>
        <w:autoSpaceDN w:val="0"/>
        <w:adjustRightInd w:val="0"/>
        <w:spacing w:after="0" w:line="240" w:lineRule="auto"/>
        <w:rPr>
          <w:rFonts w:ascii="Arial" w:hAnsi="Arial" w:cs="Arial"/>
          <w:sz w:val="16"/>
          <w:szCs w:val="16"/>
        </w:rPr>
      </w:pPr>
    </w:p>
    <w:p w:rsidR="006C0A7A" w:rsidRDefault="006C0A7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The Albigensian heresy is a dualist doctrine that rejects creation as evil.</w:t>
      </w:r>
    </w:p>
    <w:p w:rsidR="006C0A7A" w:rsidRDefault="006C0A7A">
      <w:pPr>
        <w:widowControl w:val="0"/>
        <w:autoSpaceDE w:val="0"/>
        <w:autoSpaceDN w:val="0"/>
        <w:adjustRightInd w:val="0"/>
        <w:spacing w:after="0" w:line="240" w:lineRule="auto"/>
        <w:rPr>
          <w:rFonts w:ascii="Arial" w:hAnsi="Arial" w:cs="Arial"/>
          <w:sz w:val="20"/>
          <w:szCs w:val="20"/>
        </w:rPr>
      </w:pP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 xml:space="preserve">In theology, the problem of evil arises </w:t>
      </w:r>
      <w:r>
        <w:rPr>
          <w:rFonts w:ascii="Arial" w:hAnsi="Arial" w:cs="Arial"/>
          <w:b/>
          <w:bCs/>
          <w:sz w:val="20"/>
          <w:szCs w:val="20"/>
        </w:rPr>
        <w:t>if it is accepted that evil exists in a universe governed by a supreme being who is both good and omnipotent</w:t>
      </w:r>
      <w:r>
        <w:rPr>
          <w:rFonts w:ascii="Arial" w:hAnsi="Arial" w:cs="Arial"/>
          <w:sz w:val="20"/>
          <w:szCs w:val="20"/>
        </w:rPr>
        <w:t>.</w:t>
      </w: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17"/>
          <w:szCs w:val="17"/>
        </w:rPr>
        <w:t>The primary sources for Valentinus's doctrines are fragmentary quotations contained in the works of his orthodox Christian opponents and a Coptic text, the Gospel of Truth, found at Nag Hammadi in Egypt and believed to be a translation of an original work by Valentinus. His system reflects the influence of Platonism and of Eastern dualistic religion (</w:t>
      </w:r>
      <w:r>
        <w:rPr>
          <w:rFonts w:ascii="Arial" w:hAnsi="Arial" w:cs="Arial"/>
          <w:i/>
          <w:iCs/>
          <w:sz w:val="17"/>
          <w:szCs w:val="17"/>
        </w:rPr>
        <w:t>see</w:t>
      </w:r>
      <w:r>
        <w:rPr>
          <w:rFonts w:ascii="Arial" w:hAnsi="Arial" w:cs="Arial"/>
          <w:sz w:val="17"/>
          <w:szCs w:val="17"/>
        </w:rPr>
        <w:t xml:space="preserve"> Zoroastrianism) as well as of Christianity. He postulated a spiritual realm (</w:t>
      </w:r>
      <w:r>
        <w:rPr>
          <w:rFonts w:ascii="Arial" w:hAnsi="Arial" w:cs="Arial"/>
          <w:i/>
          <w:iCs/>
          <w:sz w:val="17"/>
          <w:szCs w:val="17"/>
        </w:rPr>
        <w:t>pleroma</w:t>
      </w:r>
      <w:r>
        <w:rPr>
          <w:rFonts w:ascii="Arial" w:hAnsi="Arial" w:cs="Arial"/>
          <w:sz w:val="17"/>
          <w:szCs w:val="17"/>
        </w:rPr>
        <w:t>) consisting of a succession of aeons (Greek, "emanations") that evolved out of an original divine being. The aeon Sophia (Greek, "wisdom") produced a demiurge (identified with the God of the Old Testament) who created the essentially evil material universe in which human souls, originally of the spiritual realm, are imprisoned.</w:t>
      </w: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p>
    <w:p w:rsidR="006C0A7A" w:rsidRDefault="006C0A7A">
      <w:pPr>
        <w:widowControl w:val="0"/>
        <w:autoSpaceDE w:val="0"/>
        <w:autoSpaceDN w:val="0"/>
        <w:adjustRightInd w:val="0"/>
        <w:spacing w:after="0" w:line="240" w:lineRule="auto"/>
        <w:rPr>
          <w:rFonts w:ascii="Times New Roman" w:hAnsi="Times New Roman" w:cs="Times New Roman"/>
          <w:sz w:val="16"/>
          <w:szCs w:val="16"/>
        </w:rPr>
      </w:pPr>
    </w:p>
    <w:p w:rsidR="006C0A7A" w:rsidRDefault="006C0A7A">
      <w:pPr>
        <w:widowControl w:val="0"/>
        <w:autoSpaceDE w:val="0"/>
        <w:autoSpaceDN w:val="0"/>
        <w:adjustRightInd w:val="0"/>
        <w:spacing w:after="0" w:line="240" w:lineRule="auto"/>
        <w:rPr>
          <w:rFonts w:ascii="Times New Roman" w:hAnsi="Times New Roman" w:cs="Times New Roman"/>
          <w:color w:val="808080"/>
          <w:sz w:val="10"/>
          <w:szCs w:val="10"/>
        </w:rPr>
      </w:pPr>
      <w:r>
        <w:rPr>
          <w:rFonts w:ascii="Times New Roman" w:hAnsi="Times New Roman" w:cs="Times New Roman"/>
          <w:color w:val="808080"/>
          <w:sz w:val="17"/>
          <w:szCs w:val="17"/>
        </w:rPr>
        <w:t xml:space="preserve">Much of Gardner's efforts owed itself to the works of various theorists, including anthropologist Margaret Murray, occultist Aleister Crowley, folklorist James Frazer, and poet Robert Graves. Ritual structure was further influenced by societies such as the Hermetic Order of the Golden Dawn, the Ordo Templi Orientis, and Co-Masonry. Hallmarks of the practice evolved over time, but generally feature (1) an orthodox hierarchy typically governed by a Priestess, (2) gender-based dualism of deity, (3) magical practices (largely graftings from the above-mentioned societies coupled with British Isles folklore), (4) the notion of "perfect couples" (i.e., equal numbers of males and females, paired), and (5) ritual nudity (called "skyclad"). These hallmarks eventually would identify a coven as being "traditionalist".     . . . </w:t>
      </w:r>
    </w:p>
    <w:p w:rsidR="006C0A7A" w:rsidRDefault="006C0A7A">
      <w:pPr>
        <w:widowControl w:val="0"/>
        <w:autoSpaceDE w:val="0"/>
        <w:autoSpaceDN w:val="0"/>
        <w:adjustRightInd w:val="0"/>
        <w:spacing w:after="0" w:line="240" w:lineRule="auto"/>
        <w:rPr>
          <w:rFonts w:ascii="Times New Roman" w:hAnsi="Times New Roman" w:cs="Times New Roman"/>
          <w:color w:val="808080"/>
          <w:sz w:val="10"/>
          <w:szCs w:val="10"/>
        </w:rPr>
      </w:pPr>
    </w:p>
    <w:p w:rsidR="006C0A7A" w:rsidRDefault="006C0A7A">
      <w:pPr>
        <w:widowControl w:val="0"/>
        <w:autoSpaceDE w:val="0"/>
        <w:autoSpaceDN w:val="0"/>
        <w:adjustRightInd w:val="0"/>
        <w:spacing w:after="0" w:line="240" w:lineRule="auto"/>
        <w:rPr>
          <w:rFonts w:ascii="Times New Roman" w:hAnsi="Times New Roman" w:cs="Times New Roman"/>
          <w:color w:val="808080"/>
          <w:sz w:val="10"/>
          <w:szCs w:val="10"/>
        </w:rPr>
      </w:pPr>
    </w:p>
    <w:p w:rsidR="006C0A7A" w:rsidRDefault="006C0A7A">
      <w:pPr>
        <w:widowControl w:val="0"/>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Little interpretation is needed to understand the hammer. The symbol is taken from myth, and represents Thor's Hammer, Mjollnir, with which the God kills various giants and thus protects the lands of the Gods. Rather than a glyph symbolizing a complicated metaphysical statement, the hammer is a simple object taken from a specific myth. However, one can derive some understanding of the religion from it. The image of a weapon of war as a symbol for the religion is significant, as much of Ásatrú theology and mythology is based not on harmony between various deities or between man and the universe as expressed by the pentagram, but a relationship of conflict. However, Ásatrúar themselves are not nearly as elegant in their explanations of the symbol. For most, it is simply the accepted symbol in modern times as well as being the ancient symbol for the religion worn during the dual faith period by Ásatrú's adherents to differentiate themselves from Christian newcomers.</w:t>
      </w:r>
    </w:p>
    <w:p w:rsidR="006C0A7A" w:rsidRDefault="006C0A7A">
      <w:pPr>
        <w:widowControl w:val="0"/>
        <w:autoSpaceDE w:val="0"/>
        <w:autoSpaceDN w:val="0"/>
        <w:adjustRightInd w:val="0"/>
        <w:spacing w:after="0" w:line="240" w:lineRule="auto"/>
        <w:rPr>
          <w:rFonts w:ascii="Times New Roman" w:hAnsi="Times New Roman" w:cs="Times New Roman"/>
          <w:sz w:val="17"/>
          <w:szCs w:val="17"/>
        </w:rPr>
      </w:pPr>
    </w:p>
    <w:p w:rsidR="006C0A7A" w:rsidRDefault="006C0A7A">
      <w:pPr>
        <w:widowControl w:val="0"/>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ab/>
      </w:r>
      <w:r>
        <w:rPr>
          <w:rFonts w:ascii="Times New Roman" w:hAnsi="Times New Roman" w:cs="Times New Roman"/>
          <w:sz w:val="17"/>
          <w:szCs w:val="17"/>
        </w:rPr>
        <w:tab/>
      </w:r>
      <w:r>
        <w:rPr>
          <w:rFonts w:ascii="Times New Roman" w:hAnsi="Times New Roman" w:cs="Times New Roman"/>
          <w:sz w:val="17"/>
          <w:szCs w:val="17"/>
        </w:rPr>
        <w:tab/>
      </w:r>
      <w:r>
        <w:rPr>
          <w:rFonts w:ascii="Times New Roman" w:hAnsi="Times New Roman" w:cs="Times New Roman"/>
          <w:sz w:val="17"/>
          <w:szCs w:val="17"/>
        </w:rPr>
        <w:tab/>
      </w:r>
      <w:r>
        <w:rPr>
          <w:rFonts w:ascii="Times New Roman" w:hAnsi="Times New Roman" w:cs="Times New Roman"/>
          <w:sz w:val="17"/>
          <w:szCs w:val="17"/>
        </w:rPr>
        <w:tab/>
      </w:r>
      <w:r>
        <w:rPr>
          <w:rFonts w:ascii="Times New Roman" w:hAnsi="Times New Roman" w:cs="Times New Roman"/>
          <w:sz w:val="17"/>
          <w:szCs w:val="17"/>
        </w:rPr>
        <w:tab/>
      </w:r>
      <w:r>
        <w:rPr>
          <w:rFonts w:ascii="Times New Roman" w:hAnsi="Times New Roman" w:cs="Times New Roman"/>
          <w:sz w:val="17"/>
          <w:szCs w:val="17"/>
        </w:rPr>
        <w:tab/>
      </w:r>
      <w:r>
        <w:rPr>
          <w:rFonts w:ascii="Times New Roman" w:hAnsi="Times New Roman" w:cs="Times New Roman"/>
          <w:sz w:val="17"/>
          <w:szCs w:val="17"/>
        </w:rPr>
        <w:tab/>
        <w:t xml:space="preserve">--- </w:t>
      </w:r>
      <w:r>
        <w:rPr>
          <w:rFonts w:ascii="Times New Roman" w:hAnsi="Times New Roman" w:cs="Times New Roman"/>
          <w:i/>
          <w:iCs/>
          <w:sz w:val="17"/>
          <w:szCs w:val="17"/>
        </w:rPr>
        <w:t>Devyn Gillette and Lewis Stead</w:t>
      </w:r>
    </w:p>
    <w:p w:rsidR="006C0A7A" w:rsidRDefault="006C0A7A">
      <w:pPr>
        <w:widowControl w:val="0"/>
        <w:autoSpaceDE w:val="0"/>
        <w:autoSpaceDN w:val="0"/>
        <w:adjustRightInd w:val="0"/>
        <w:spacing w:after="0" w:line="240" w:lineRule="auto"/>
        <w:rPr>
          <w:rFonts w:ascii="Times New Roman" w:hAnsi="Times New Roman" w:cs="Times New Roman"/>
          <w:sz w:val="17"/>
          <w:szCs w:val="17"/>
        </w:rPr>
      </w:pPr>
    </w:p>
    <w:p w:rsidR="006C0A7A" w:rsidRDefault="006C0A7A">
      <w:pPr>
        <w:widowControl w:val="0"/>
        <w:autoSpaceDE w:val="0"/>
        <w:autoSpaceDN w:val="0"/>
        <w:adjustRightInd w:val="0"/>
        <w:spacing w:after="0" w:line="240" w:lineRule="auto"/>
        <w:rPr>
          <w:rFonts w:ascii="Times New Roman" w:hAnsi="Times New Roman" w:cs="Times New Roman"/>
          <w:color w:val="808080"/>
          <w:sz w:val="34"/>
          <w:szCs w:val="34"/>
        </w:rPr>
      </w:pPr>
    </w:p>
    <w:p w:rsidR="006C0A7A" w:rsidRDefault="006C0A7A">
      <w:pPr>
        <w:widowControl w:val="0"/>
        <w:autoSpaceDE w:val="0"/>
        <w:autoSpaceDN w:val="0"/>
        <w:adjustRightInd w:val="0"/>
        <w:spacing w:after="0" w:line="240" w:lineRule="auto"/>
        <w:rPr>
          <w:rFonts w:ascii="Times New Roman" w:hAnsi="Times New Roman" w:cs="Times New Roman"/>
          <w:color w:val="808080"/>
          <w:sz w:val="34"/>
          <w:szCs w:val="34"/>
        </w:rPr>
      </w:pPr>
    </w:p>
    <w:p w:rsidR="006C0A7A" w:rsidRDefault="006C0A7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C0A7A" w:rsidRDefault="006C0A7A">
      <w:pPr>
        <w:widowControl w:val="0"/>
        <w:autoSpaceDE w:val="0"/>
        <w:autoSpaceDN w:val="0"/>
        <w:adjustRightInd w:val="0"/>
        <w:spacing w:after="0" w:line="240" w:lineRule="auto"/>
        <w:rPr>
          <w:rFonts w:ascii="Times New Roman" w:hAnsi="Times New Roman" w:cs="Times New Roman"/>
          <w:sz w:val="34"/>
          <w:szCs w:val="34"/>
        </w:rPr>
      </w:pPr>
    </w:p>
    <w:p w:rsidR="006C0A7A" w:rsidRDefault="006C0A7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6C0A7A" w:rsidSect="006C0A7A">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A7A" w:rsidRDefault="006C0A7A" w:rsidP="006C0A7A">
      <w:pPr>
        <w:spacing w:after="0" w:line="240" w:lineRule="auto"/>
      </w:pPr>
      <w:r>
        <w:separator/>
      </w:r>
    </w:p>
  </w:endnote>
  <w:endnote w:type="continuationSeparator" w:id="0">
    <w:p w:rsidR="006C0A7A" w:rsidRDefault="006C0A7A" w:rsidP="006C0A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A7A" w:rsidRDefault="006C0A7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A7A" w:rsidRDefault="006C0A7A" w:rsidP="006C0A7A">
      <w:pPr>
        <w:spacing w:after="0" w:line="240" w:lineRule="auto"/>
      </w:pPr>
      <w:r>
        <w:separator/>
      </w:r>
    </w:p>
  </w:footnote>
  <w:footnote w:type="continuationSeparator" w:id="0">
    <w:p w:rsidR="006C0A7A" w:rsidRDefault="006C0A7A" w:rsidP="006C0A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A7A" w:rsidRDefault="006C0A7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0A7A"/>
    <w:rsid w:val="00467859"/>
    <w:rsid w:val="006C0A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616</Words>
  <Characters>3512</Characters>
  <Application>Microsoft Office Word</Application>
  <DocSecurity>0</DocSecurity>
  <Lines>29</Lines>
  <Paragraphs>8</Paragraphs>
  <ScaleCrop>false</ScaleCrop>
  <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2017-09-23T01:03:00Z</dcterms:created>
  <dcterms:modified xsi:type="dcterms:W3CDTF">2017-09-23T01:03:00Z</dcterms:modified>
</cp:coreProperties>
</file>