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Crimes Court Needs To Expand Net</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Omer Bin Abdullah, Editor ISNA's Horizons magazine      -      May 1, 2001</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Dragan Obrenovic, the commander of the Bosnian Serb Zvornik brigade during the 1992-95 war   . . .    was arrested by the NATO-led Stabilization Force (SFOR) in Bosnia. Obrenovic pleaded not guilty to charges of complicity in genocide, war crimes, and crimes against humanity while about 10,000 Bosnian Serbs in his hometown, Zvornik, staged a protest, many carrying signs which read, "Enough of this biased justice." More protests are planned throughout the Republika Srpska (RS), the Bosnian Serb entity of Bosnia.</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against Obrenovic stem from the execution of thousands of Muslim men after Serb forces overran the U.N.-protected enclave of Srebrenica on July 6, 1995.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Dutch General Cees Nicolai (supported by Colonel Thomas Karremans) has charged that by refusing to order air strikes against the Bosnian Serb troops, General Bernard Janvier, the French commander of the U.N. peacekeepers based in Zagreb in the former Yugoslavia (UNPROFOR), allowed the Srebrenica massacre to be carried out unchallenged.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had been a rapid and strong action of U.N. troops with air support, we could have avoided this catastrophe. But the restrictions on the deployment of air power prevented that," Cees Nicolai told a French parliamentary inquiry. He added that both Janvier and the civilian U.N. special envoy to Bosnia, Yasushi Akashi, had disagreed with the British commander of UNPROFOR, General Rupert Smith, over the use of air power against the Bosnian Serbs.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Colonel Karremans was commander of the U.N. battalion in charge of protecting the so-called "safe haven" of Srebrenica, eastern Bosnia. Bosnian Serb forces brushed aside the peacekeepers and entered the town in July 1995 - after Janvier had refused repeated requests for air strikes. They massacred more than 5,000 Bosnian Muslim men and boys in the worst single civilian slaughter in the Balkan wars of the 1990s.    . . .     The Dutch officers are discounting the various excuses given by Janvier for refusing air support.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a few  . . .   [Dutch] troops were taken hostage by Bosnian Serb commander Ratko Mladic's forces, the Dutch peacekeepers handed over about 5,000 Muslims who were being sheltered at the Dutch base at Potocari. In return, the Serbs released the 14 Dutch peacekeepers that were being held at the Nova Kasaba base.   . . .   The Muslims became the target of Serb terrorism.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Partners in Crime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Janvier's partner in crime is Yasushi Akashi, special representative of the Secretary General in the former Yugoslavia. The two provided the proverbial "green signal" to the Serbs on July 10th by authorizing a faxed statement to General Tolimir to the effect that close air support would be used against the Bosnian Serbs if they struck the Dutch blocking positions. Of course, the Serbs then bypassed such positions in proceeding with their grisly mission against the Bosnians.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Annan agreed, "It is possible that this message had given the Serbs the impression that air power would be used only to protect UNPROFOR, and they could attack the Bosnians with impunity."   . . .    General Bernard Janvier is on the record as having made numerous statements demonstrating that there was no intent whatsoever to defend the Bosnian Muslim population of Srebrenica from attack and genocide.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did not take the necessary measures (including the use of force), to deter attacks on the safe area as Resolution 836 charged him with doing, and he consistently lobbied for and took actions that </w:t>
      </w:r>
      <w:r>
        <w:rPr>
          <w:rFonts w:ascii="Arial" w:hAnsi="Arial" w:cs="Arial"/>
          <w:sz w:val="20"/>
          <w:szCs w:val="20"/>
        </w:rPr>
        <w:lastRenderedPageBreak/>
        <w:t>facilitated the United Nation's withdrawal from the eastern enclaves.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record also shows that before, during and after the slaughter, Janvier and Akashi made numerous statements that were untrue, misleading, or distorted - evidently, both to deter defensive action against the Serbs and to conceal the massive dereliction of their own sworn duty.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General Rupert Smith, NATO commander in Bosnia, ordered a second round of air strikes, on May 29th, the authority to approve air strikes was shifted to U.N. headquarters. Secretary General Boutros Boutros-Ghali then had to personally turn the key to request air strikes, a process that could have taken days.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on June 4th, only one month before the attack on Srebrenica, Janvier met secretly with General Ratko Mladic and his Chief of Staff, General Momcilo Perisic in Zvornik.</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Bosnian memoir To End a War (1998), Richard Holbrooke, U.S. special envoy for Bosnia, pointed out that after the Janvier-Mladic meeting, the air strikes stopped while the intensity and frequency of Serb attacks increased. Also, he noted, both Milosevic and Karadzic have said that Janvier agreed to drop the air strikes.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examination of events relates that the U.N. Secretary General, Akashi and Janvier took it upon themselves to rescind the commitment of Resolution 816 - without authorization of the Security Council. However, the criminal roles of Boutros Ghali, Akashi and Janvier notwithstanding, the Dutch troops also share the blame because it was they who exchanged 14 of their own for 5,000 Muslims when they knew the Serbs planned to slaughter them. The Serbs would have never risked killing the Dutch troops.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Dutch commander complied with the orders of General Mladic to separate the males aged 12 to 77, and place their names on a list. The Dutch Deputy Commander in his immediate area ordered the compilation of the list. He later said that this was done to provide a record of the names to be handed over to the International Committee of the Red Cross.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their pleas for mercy, the Dutch soldiers ordered these men to leave the compound and turn themselves over to the Serbs. [The Dutch] are now offering the excuse that they did not believe sudden death was looming over these men and thought they would be treated in compliance with the Geneva Conventions.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http://www.onislam.net/english/politics/europe/446115.html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envoy disputes Bosnia election fears</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Associated Press    -   May 31, 1996</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envoy John Kornblum, wrapping up a two-day visit to Balkan capitals on Thursday, called the peace accord timetable realistic and said the elections are a necessary first step toward instilling democratic government. "The Dayton agreement does not say that we have to have a perfectly functioning democracy in place," Kornblum said. "In fact, the elections are there to lay the framework for a functioning democracy." The elections are considered the key to realizing the peace accord's plan for a new Bosnia made up of a Serb region and a Muslim-Croat federation under a loose joint leadership.</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The International Helsinki Federation said the fall vote would cement the dominance of nationalists and seal the results of violent ethnic purges. The human rights group appealed to international mediators to admit that conditions for anything resembling a democratic vote are nonexistent.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Bosnia's ambassador to the United Nations, Muhamed Sacirbey, also called for postponing the vote and said Western leaders were resisting a much-needed delay to further their political agendas. Also Thursday, officials said they planned to postpone a local election in Mostar considered crucial to creating the Muslim-Croat federation. Croats who now dominate the town did not want Muslims who were forced out during the war to vote in the May 31 election. Officials said the vote would be held later. Similar problems loom for the national elections.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seriously to be feared that one will see cemented the practices of ethnic separation and that the people who led the war will continue to decide the fate of Bosnia-Herzegovina," Dardan Gashi, a consultant for the International Helsinki Federation, said Thursday in Vienna.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http://usatoday30.usatoday.com/news/index/bosnia/may96/nbos224.htm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Crime Over Courage In Iraq</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Jim Hoagland     -    Washington Post     -    June 16, 2005</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Three haggard Romanian journalists appeared on al-Jazeera television April 22, in handcuffs and with guns pointed at their heads, to beg for their lives. They would be killed if Romania did not immediately withdraw its 860 troops from Iraq, their captors announced to the world. To drive the message home, Muhammad Munaf, the Iraqi American guide for the Romanians, was also shown on al-Jazeera flanked by two armed hostage-takers. Munaf appealed directly to President Bush to meet the political demands of the patriots of the "Muadh ibn Jabal Brigade," as the captors styled themselves for the Arab satellite network.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Another horrifying example of the lengths to which Iraq's "insurgents" will go to free themselves from the oppression of foreign occupation appeared to be unfolding. But Munaf and his accomplices are believed to have staged the kidnappings for profit, not for any nationalist cause.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a happy ending to this particular story: The Romanian government, which rejected any troop withdrawals, managed to win the journalists' freedom a month after their suffering was exploited on al-Jazeera. With the help of Iraq's besieged authorities, Bucharest has also unraveled many details of the kidnapping plot. That investigation in turn contributed to the freeing Sunday of French journalist Florence Aubenas and her Iraqi translator, Hussein Hanoun Saadi. They and the Romanians were held on a "hostage farm" north of Baghdad by one of the local networks that traffic in foreign and Iraqi hostages. French Prime Minister Dominique de Villepin publicly thanked Romania on Tuesday for its help.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Criminality became ingrained in Iraqi society during the long and brutal rule of Saddam Hussein, and it did not disappear with the U.S. invasion. Many of those who finance or commit the bombings and other atrocities that flash nightly on American television screens, where the violence is interpreted uniformly as a political phenomenon, fight to be able to return to crime-as-usual in Iraq.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Romanian case also casts new light on the strong connections that united the Iraqi dictator -- and other Arab leaders -- with the intelligence services and political establishments of the Soviet bloc for three decades. As they made cause against the United States together, they also made money together.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 oil-for-food scandal is in many ways only a small strand in the vast web of international corruption and violence spun around the Middle East's oil riches. As the trial of Hussein is likely to show in great detail, his Baathist regime was an organized criminal enterprise that attained a scope and brutality rarely matched in human history. And those who worked with him, from East or West, were rewarded for their help.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he was not different from Romania's Nicolae Ceausescu or that dictator's corrupt successors. The election last December of a democratic government headed by President Traian Basescu has finally opened the files of the Romanian Intelligence Service on its cooperation with terrorists -- including Carlos the Jackal, Palestinian groups and Islamic fundamentalists -- and the Arab middlemen who made fortunes out of facilitating such contacts.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most important facilitators was Syrian businessman Omar Hayssam, whose family connections with Syrian intelligence and the Baathist regime in Damascus are detailed in the Romanian files, the Paris daily Le Monde reported this week. Authorities in Bucharest have identified Hayssam as the mastermind and financier of the plot in which Muhammad Munaf lured the Romanian journalists to their capture in Baghdad on March 28.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Romanians have denied that they paid any ransom, as has the French government in the Aubenas case. Those assertions were greeted with much skepticism in the European media. But the key to the Romanians' release may actually lie elsewhere. Hayssam was arrested in Bucharest on April 5 on (shades of Al Capone) tax evasion and other charges.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Munaf, his brother and a Syrian named Mahmoud Khaled Omar were ringleaders of the group of professional kidnappers under contract to Hayssam. As is often the case, after their capture the Romanian journalists went into a hostage gulag run by several criminal organizations.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Sordid details of thugs and kidnappers such as these cannot compete with the romantic images of Iraqi "insurgents" taking desperate measures in desperate times, so don't expect to see Hayssam's story on the evening news here or on al-Jazeera's Arabic broadcasts.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you may want to remember that the next car bombing or beheading that you see in living color may have been brought to you by a shadowy Iraqi or Syrian Baathist living in Damascus or in Europe who has put out good money to bad people to preserve his team's right to plunder. The case of Romania's hostages has usefully put the spotlight on the reinforcing evils of corruption and tyranny.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---http://www.washingtonpost.com/wp-dyn/content/article/2005/06/15/AR2005061502160.html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Humility, Please</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Messenger to the Thoughtful      -       Jan. 21, 2013</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President, there is one key to a great second term. You cannot control all events, from nature's fury to foolish decisions made in other nations. You cannot make a speech and heal the economy or the planet. There is one character trait that will unlock the door to a brighter future for all Americans. What is this key?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Humility. The humility to learn from those outside your ideological bubble. Humble people learn from mistakes, increase accountability change habits. Humility opens hearts and minds among adversaries and increases the chance of successful negotiations. Humility thinks of the good of all for the foreseeable future instead of one's personal image or legacy.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Humility opens the door to divine favor and reconciliation among warring factions. Humility is more powerful than intimidation, because it compels thoughtfulness instead of polemics. Humility knows when to compromise on some practical matters.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Humility is courage wisely managed and power carefully exercised. Humility liberates from the destructiveness of narcissism.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Humility opens the door to heretofore undiscovered answers to baffling problems. A humble heart will show respect for all people, thereby garnering openness for new ideas.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President, allow God's love to remove the barely concealed contempt you have for your political adversaries.    . . .    Paul Ryan is just as smart as you are.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If you listen and negotiate with him, you will go down in history    . . .     Humility liberates us from self-imposed demands of personal omniscience and the pressures of perfectionism.</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http://insightsforimpact.blogspot.com/2013/01/humility-please.html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have books!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Understanding Canada</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yourself or as gifts to others, we have a number of outstanding books and a fine DVD.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Orchard's The Fight for Canada, 2nd edition, is available in French and English. Please read various reviews of this outstanding and unique history of Canada and its relationship with its powerful and expansionist neighbour on our website.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also available: Hoodwinked: The Myth of Free Trade (DVD, 90 min.), a film by Bill Dunn and Linda West. This documentary shows how "free trade" has not paid off for Canadians. With valuable historical footage, narrated by Laurier LaPierre, the film has interviews with Dalton Camp, Stephen Clarkson, Shadia Drury, David Orchard, Jim Stanford, John Turner and Peter Urmetzer. Read review. Special: $20.00 (mailing $3.00)</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very special SPECIAL: Fight for Canada and Hoodwinked $35.00 plus mailing $7.00.</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Understanding what is going on in the world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understand what happened to Yugoslavia is a key to understanding what is going on in the world in 2010 — eleven years after the lawless bombing of that country. The bombing of Yugoslavia was, in effect, "globalism’s first war," (see David Orchard's June 23, '99 article "Globalism's first victim"), with other illegal invasions, occupations and assaults on sovereign countries to follow, with increasing speed and brutality.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books, also available from us, are “must reads” for all who want to know how a functioning country was destroyed, bit by bit, by the Western powers, and what that has meant for all humanity.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Edward S. Herman and David Peterson, The dismantling of Yugoslavia. A study in in-humanitarian intervention — and a Western liberal-left intellectual and moral collapse. (A special issue of Monthly Review, October 2007) $5.00 Mailing $3.00.</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Peter Brock, Media cleansing: Dirty reporting. Journalism and tragedy in Yugoslavia. Foreword by David Binder. (GM Books 2006) $15.00 Mailing $10.00. Read review by Edward Herman.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Mandel, How America gets away with murder: Illegal wars, collateral damage and crimes against humanity. (Pluto Press 2004) $25.00 Mailing $4.00 Read review by Edward Herman.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Diana Johnstone, Fools’ crusade: Yugoslavia, NATO and Western delusions. (Monthly Review Press 2002)  $20.00 Mailing $4.00 Read review by Edward Herman.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 Bricmont, Humanitarian imperialism. (Monthly Review Press 2006) $15.00 Mailing $4.00. Read interview with Jean Bricmont. Read review by Steven Sherman: "The perils of humanist intervention".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http://www.davidorchard.com/online/2intro1.html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Western Sahara conflict: regional and international repercussions</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Yahia H Zoubir, International relations and management, Director geopolitical research the Euromed School of Business and Management (Marseille)</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Concerned Africa Scholars Bulletin (ACAS) Bulletin 85  -  June 2010</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http://concernedafricascholars.org/bulletin/85/</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http://www.ceri-sciences-po.org/archive/2010/fevrier/dossier/art_ yz.pdf</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Economists in the United States have shown that an integrated Maghrib market and free trade area would produce highly beneficial results for the populations of the region (Hufbauer &amp; Brunel 2008).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alleged technical difficulties to ensure a referendum have been mere pretext to allow Morocco to continue its colonization of the territory.   . . .    Today powers like the United States, France and Spain, support, albeit to different degrees, the concept of 'autonomy for the Sahrawi people'   . . .   They have failed to impose it     .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Sahrawis have resorted to active, continued peaceful resistance, which has succeeded in alerting the international community    . . .   The case of the activist Aminatou Haidar is a perfect illustration. In fact, her hunger strike, triggered in November-December 2009 and the diplomatic reaction that ensued, have had such reverberations that the Personal Envoy of the UN Secretary-General to Western Sahara, Christopher Ross, asked the UN Security Council on January 28, 2010, during a closed-door meeting, to include human rights monitoring in the prerogatives of the Mission des Nations Unies pour l'Organisation d'un Référendum au Sahara Occidental (MINURSO, UN Mission for the Referendum in Western Sahara) -- the only United Nations peacekeeping force that does not include, as part of its mandate, the protection of human rights. The same request had been made in 2009 but France opposed it.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30 April 2010, France once again, opposed the inclusion of the protection of human rights in MINURSO's mandate.    . . .    In the meantime, the violations of human rights in occupied Western Sahara have in fact amplified    . . .    Since 2001, Morocco has continuously opposed the inclusion of the option of independence [in] any [self-determination] referendum    . . .   Today, the Moroccans consider the referendum process altogether as an 'obsolete practice'.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Nations is responsible for the decolonization of Western Sahara, but the key to breaking the stalemate and implementing the legal solution lies in the hands of France and the United States, which, even if they do not recognize Morocco's sovereignty over the territory, have allowed Morocco to consolidate its control over Western Sahara.    . . .     France, regardless of its 'official' position, considers Western Sahara as an integral part of Morocco.</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1975, successive French governments have never hidden their opposition to an independent Sahrawi state    . . .    The United States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2003, the United States, supported the second Baker Plan, under which the Sahrawis were to enjoy autonomy for a period of five years before holding a referendum on self-determination that would include the three options, of which independence was one, as inscribed in UN resolutions. Moroccans have objected to such referendum in spite of the numerical advantage of Moroccan settlers in the territory, who would have been allowed to vote    . . .   The Bush administration then supported the 2007 Moroccan autonomy proposal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June 2009, it appeared that the U.S. no longer supported unequivocally the Moroccan autonomy plan; Obama evaded mentioning the autonomy plan in his letter to King Mohamed VI    . . .    referring to international legality, which in the case of Western Sahara would include the option of independence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Conflicting pronouncements in Obama's letter and those issued by Hillary Clinton during her visit to Morocco in November 2009 highlight the policy constraints of the new administration.    . . .     The U.S. displayed a tougher stand toward Morocco during the hunger strike of Haidar. The U.S. was instrumental in resolving the case (Jamaï &amp; Rhanime 2010), thus making it possible for Haidar to return to Western Sahara.</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major questions to be asked is whether the White House, despite the seemingly evenhanded approach, will succumb to the Senate's pressure to endorse Morocco's illegal annexation of Western Sahara (Zunes 2010   -  huffingtonpost.com   -  Direct URL: http://tinyurl.com/2atkfxx)    . . .    </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http://www.africa.upenn.edu/afrfocus/afrifocus062910.html</w:t>
      </w: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We Can’t Fix Our Economy Without Confronting White Supremacy</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Terrance Heath     -     Dec. 21, 2012</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a bipartisan group of 130 members of Congress, ranging from Dennis Kucinich on the left to Joe Wilson on the right, wrote to President Obama asking him to stop Chinese currency manipulation. The members of Congress wrote:     . . .   [China is] pegging the renminbi (RMB) to the U.S. dollar at a fixed exchange rate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New York Times on Monday, [Paul] Krugman wrote:   . . .   The Peterson Institute for International Economics estimates that the renminbi is undervalued by between 20 and 40 percent.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Robert Samuelson. Samuelson, writing in The Washington Post, said:    . . .   A collision of national egos seem inevitable.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Rob Scott of the Economic Policy Institute and C. Fred Bergsten, director of the conservative Peterson Institute for International Economics, both agreed that fighting Chinese currency manipulation is the key to fixing our economy. Bergsten stated that up to 3 million jobs could be created by addressing Chinese currency manipulation.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Pat Buchanan, representing   . . .  angry white men   . . .  says we have to do something about Chinese currency manipulation:   . . .  the terrible damage done to our country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recent USA Today/Gallup Poll showed that Americans viewed protecting manufacturing as the best way to create jobs. Americans across the political spectrum agree that best way to deal with the jobs crisis is to protect   . . .   Will President Obama listen?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---http://www.ourfuture.org/institute/blog-entry/2010031116/bipartisan-solution-creates-2-million-jobs-and-costs-nothing</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Let the plunder begin: The return of Robert Rubin</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Mike Whitney      -     Online Journal      -       Jan. 8, 2010</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Rubin again: “The American people are growing increasingly concerned about deficits, creating a public environment more conducive to political action. And the Obama administration, in my view, has a deep understanding of the critical importance of addressing this issue.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So, Obama has already joined the ranks of the deficit terrorists.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Rubin again: “As President Obama and the other G20 leaders warned, restrictive trade measures in response to the current crisis could lead to highly destructive trade wars. For the long run, we should continue pursuing the open markets that the Peterson Institute for International Economics, a Washington think tank, estimates have added $1 trillion to America’s current GDP.”</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Rubin is working for Peterson? That explains everything. Here’s an excerpt from a Dean Baker article which appeared in the UK Guardian this week: “Peter Peterson is a Wall Street billionaire and former Nixon administration cabinet member who has been trying to gut Social Security payments and Medicare for at least the last quarter of a century. He has written several books that warn of a demographic disaster when the baby boomers retire. These books often include nonsense arguments to make his case. For example, in one of the books making his pitch for cutting Social Security as matter of generational equity, Peterson proposes reducing the annual cost of living adjustment.” (UK Guardian)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Ah ha! So, the real goal is to slash spending to impose onerous austerity measures that will lay the groundwork for dismantling critical social programs, like Social Security, Medicaid and Medicare. That’s why Rubin is working hand-in-hand with his allies in and out of the White House. It has nothing to do with what’s best for the country. It’s another looting operation spearheaded by the same band of Wall Street pirates who just blew up the financial system.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Rubin again: “For American workers, sustained growth is the most powerful force for higher wages and greater personal economic security. . . . The dynamism of American society, its flexible labor and capital markets, its entrepreneurial spirit and the sheer size of its economy, are great strengths for succeeding in a rapidly transforming global economy. . . . Finally, in an increasingly interdependent world, transnational issues key to all of us can only be addressed through effective global governance.”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Yada, yada, yada. More free trade, more outsourcing, more off-shoring, more lost jobs, more structural adjustment (at home, this time) more privatization, more screwball globalist Utopianism. It’s all right out of the neoliberal playbook, corporate America’s sacred text. And it looks as if President Moonbeam is marching in lockstep with the rest of the hucksters.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Face it, the Obama administration is less interested in engineering a strong recovery than they are with micromanaging a protracted downturn. That’s because a long drawn-out mini-Depression puts the Rubin troupe right where they want to be — with one hand choking the life out of the economy while the other steals whatever is left in the national vault.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http://peacebytruth.wordpress.com/2010/01/</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Local water diversely known: Walkerton Ontario, 2000 and after</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Joy Parr, Information and Media Studies, University of Western Ontario</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Pion publication printed in Great Britain    -   March 20, 2004</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narrative of the water contamination in Walkerton, Ontario, in 2000 - 02 I consider</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local priorities defining good water. These vernacular understandings emphasised taste, softness, and thrift in municipal water, and they highly valued local sovereignty in matters of water quality, and solidarity as a quality of local citizenship.</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using contemporaneous evidence from media reports and the judicial enquiry into the incident, I trace how the qualities of good water were redefined    . . .  The emphasis   . . .    and the implications    . . .    differ from the journalistic and judicial accounts which emphasise individual culpability.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DOI:10.1068/d431</w:t>
      </w: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study is a historian's analytical account of a recent event of geographical, epistemological, and political interest.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Ontario town of Walkerton in the week which followed the 24 May holiday weekend in 2000, seven people, all elders and children, died from the effects of E coli O157.H7 in the town's water supply; in the six months thereafter, half the town's 4000 residents found their bodies inscribed by a chronic water-borne illness.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Blanket news coverage of events in town was carried nationally through the Canadian media. Both CNN and National Public Radio followed the story in the United States. Soon, far from this one town in the rural Ontario county of Bruce, people lost their sense of certainty about good water.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writing is theoretically informed. The reader will find here inflections and connections which depend upon my understandings of Ulrich Beck (1992 [1986]); Thomas Csordas (2002), Gilles Deleuze (1990), Donna Haraway (1991; 1997); David Howes (2003); Tim Ingold (2000); Michael Jackson (1983); and Bruno Latour (1987; 1996). But my work is pinioned in the instance.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write amidst an edgy project of ‘sorting things out' (Bowker and Star, 1999), from the unruly not-yet-representational space which never quite entirely evades yet purposefully precedes abstraction.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Sorting out needs to begin even as community feelings remain too raw to ethically tolerate interviewing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sign of trouble in Walkerton was diarrhea   . . .   Because the manager of the Public Utility Commission knowingly misled them with reports that the town water was `okay', staff of the local Medical Officer of Health initially focused their search on a food-borne source of the spreading illness.    . . .    On 23 May, as the pattern of the illness and the Public Utilities Commision's manager's deception became clear   . . .   Walkerton's drinking water [was] established as the source of the contaminant    . . .   The Concerned Walkerton Citizens was formed; their first step was to demand   . . .   a judicial inquiry   . . .   In the months and years ahead this group became key to the remaking of water knowledge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Townspeople soon would be relearning their water from unsettling new perspectives.   . . .  Journalistic narrative conventions immediately began to structure and frame what the public beyond Walkerton would know about the event, and what would remain beyond scrutiny.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reporter working to a deadline begins quickly to sort out the parties to an event into the roles a satisfying story will require: a hero, a villain, and a mobile chorus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Stan Koebel -- as manager of the Public Utilities Commission he became the</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putative villain  -   had gone to ground by 26 May. Testifiers to his villainy were not to be found.      . . .  But the text below the bold type characterised Koebel as an “upstanding member of the community”, trusted as a brother by his fellow volunteer fire-fighters, a decent man whose integrity was beyond reproach.   . . .    In his twenty-eight years as a civic employee, he had become “one of the most experienced guys around”.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Koebel had shown himself capable and hardworking. He took pride in his work, and was always willing to go the extra mile to make sure things were done. And, as his bosses knew by observation, he commanded the respect of his peers amongst area waterworks managers.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the annoyance of the journalists from outside the area, there were no angry mobs or choruses of blame to be found in town.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would speak generally expressed sympathy for a man in the unenviable predicament of having made an honest mistake.    . . .   Most appeals were not to speak ill of the town, or its water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most citizens did not have the expertise to pass judgments on engineering reports about the state of their wells, mains, and sewers or firsthand knowledge of the monitoring, testing, and chlorination practices of town public utilities employees, they felt confident, even obliged, to make reports when they perceived the water to be wanting. The terms of the pragmatic agreement about water in this sense were known. And to this extent citizens accepted that they were party to a shared town consensus about water and thus implicated in the consequences if that bargain had been flawed.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Local water is a product of more complex systems than most people in Walkerton recognised. In this sense water bargains were flawed.</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Walkerton, as in the contested waterscapes of Equador and Spain which Eric Swyngedouw has so tellingly explored (1999), the local aquifer was a finely tuned communicator, a receptor of global influences which by unbidden reciprocity carried the local out toward the global.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unwittingly, voters and householders engaged a daunting complexity, a coalescence of mechanical, chemical, human, and nonhuman organic agents, the fusing of social, biological, and technical processes (Haraway, 1991; Latour, 1993).</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those who gained their knowledge of events through the urban press, what made water differently meaningful in the spring of 2000 was a sense of threat, that what was happening in Walkerton could happen anywhere. This was the articulation the satellite trucks beamed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Walkerton a more complex understanding that the town bargain about water had been too simple and, by local practice, unsafe was dawning within an altered embodied space. The contaminated water townspeople drank changed bodily experience of being in Walkerton.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were days lived amidst the merged sensations of pain in the gut and the mingled smells of chlorine and excrement by the many local sickbeds in town, and overhead too many times there could be heard the dark beat of helicopter blades as the most gravely ill were evacuated to the nearest university hospital. In town all these experiences were understood as implications of the long-standing compact the community had made about their water and its guardians.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knowing and sense of shared responsibility, this different articulation, remained local, part of somatic and moral compass of the town.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in Walkerton good water was understood as an arbitrage amongst taste, softness, and thrift.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towns, Walkerton among them, regarded water as an intrinsically municipal matter (Sancton and Janik, 2002, pages 30 - 31).</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Jim Boulden, a former mayor and public utilities commissioner told the O'Connor Inquiry, “we had a well run organisation. We didn't need somebody [the Ontario CleanWater Agency] to run it for us''.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places, long after the regulation of the quality of schooling, medical care, and goods offered in trade was ceded to the competence of distant authorities, good water remained a homely matter,  a service nearly free, reliable by custom. Evading the current of centralising governance, the regulation of water outside large urban centres frequently remained a closely held community prerogative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Into his adulthood, Frank Koebel preferred the raw water to that treated with chlorine, which by taste he found less clean, fresh, and familiar.</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appeal of taste as the discriminator of good water is plain enough. Taste was historically the quality by which the value of springs and deep wells had been appraised. Unlike scientific tests hedged by the inferences from a sample collected in some single place in some past time, taste, as a sign of goodness, was an immediate and continuous sign.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they drank, drinkers, with each ingestion, believed they could judge the quality of the water. This reckoning depended upon local knowledge of local waters processed through local bodies according to local standards. It measured safety by the local history of bodily consequences.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residents discounted the expertise which counseled chlorination, as chlorination compromised taste for an impalpable, inferential, and counterintuitive promise of safety.   . . .   In their reasoning about good water the Koebels were not alone. As O'Connor noted in his report, local residents objected to the use of chlorine and often pressured their waterworks employees to decrease the amount injected into their water.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reactions of some townspeople against chlorination were strident. “Has everyone forgotten that chlorine is a poisonous gas that killed, blinded or choked thousands of troops in World War I .     ...    Poisons cause cancer. Period. What really are the long-term effects of drinking, washing and cleaning out homes with chlorine? You can just bet the bleach manufacturers and water treatmentplants aren't going to tell us!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 our water ever be ‘safe' again?'', Elaine Crilly demanded in the Herald-Times of 21 June, “By safe I mean clean and sparkling without chlorination?''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Walkerton paper published the same concern the next week, in a letter from Carol Barclay, who after being sick for five weeks with nausea, headaches, cramps, and diarrhoea wondered, “If over-chlorinated water is the only way to have `clean water' what then? Chlorine can kill too.''</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local aesthetic objections to chlorination were multiple and long-standing.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early December, soon after Frank Koebel's testimony to his own preference for raw water and his actions to keep the town water palatable in his terms, Brian Glover, one of the commission counsel, was intercepted in a local coffee shop by an elder who queried, “You that fella on TV? ...Well I got a complaint .... there's too much damn chlorine in the water'' (Perkel, 2002, page 209).</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long list on the war memorial of town sons who had perished on the toxic battlefields of World War 1 and the contemporary experience of chlorine as a corrosive agent made the positive association of chlorine with health and safety implausible.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contending aesthetic preferences were complicated by the predisposition of the town toward thrift, a trait for which Walkerton was known in Bruce County.    . . .    Keeping costs down for customers was a matter of pride in Walkerton among municipal officials who paid close attention to budgets and expenditures, and ran their utility conservatively, building up ample reserves.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way ahead would be through converging and unsettling acknowledgments that knowledge is not complete, nor its constituting elements reconcilable, that life must continue amidst uncertainty, that neither tradition nor science were a sure refuge in times of trouble.   . . .</w:t>
      </w: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24"/>
          <w:szCs w:val="24"/>
        </w:rPr>
        <w:tab/>
        <w:t>{  Here is a fact.  2 + 2 = 4.</w:t>
      </w:r>
    </w:p>
    <w:p w:rsidR="002161F9" w:rsidRDefault="002161F9">
      <w:pPr>
        <w:widowControl w:val="0"/>
        <w:autoSpaceDE w:val="0"/>
        <w:autoSpaceDN w:val="0"/>
        <w:adjustRightInd w:val="0"/>
        <w:spacing w:after="0" w:line="240" w:lineRule="auto"/>
        <w:rPr>
          <w:rFonts w:ascii="Times New Roman" w:hAnsi="Times New Roman" w:cs="Times New Roman"/>
          <w:color w:val="FF0000"/>
          <w:sz w:val="16"/>
          <w:szCs w:val="16"/>
        </w:rPr>
      </w:pP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Now.  What about this fact is not complete?  }</w:t>
      </w: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color w:val="FF0000"/>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residents of Walkerton had not believed that their preferences  . . .  compromised their safety. The employees of the town waterworks regularly drank water from the raw side at the wells   . . .    The residents of Walkerton believed that their well water had been purged of impurities by geological processes.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October Saturday before the O'Connor Inquiry hearings began in Walkerton, the Toronto Star published a special report, “The anatomy of a preventable tragedy'', which by bold headline accused: “Town knew wells were unsafe''. The headline was wrong.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MOE inspection report in May 1998 had found, and not for the first time, serious problems in the operation of the Walkerton water system: E coli in a significant number of water samples; inadequate chlorine residuals, sampling, record keeping, and training. The inspector, Michelle Zillinger, in her report at that time emphasised the need for the Walkerton Public Utilities Commission to comply with the Ontario Drinking Water Objectives.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Stan Koebel promised the commissioners that he would correct the deficient practices.Without question they accepted his assurances. When the Zillinger inspection document was tabled at the June meeting of municipal council, one councillor, Mary Robinson-Ramsay, suggested that the town's noncom- pliance with the Ontario Drinking Water Objectives would be better remedied by engaging the “regular and on-going technical expertise'' of a consulting engineer or a municipal director of public works. She found little sympathy for this proposal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when pressed in December 2000 by lawyers representing the Ontario government to find fault with her fellow members of council, she would not oblige.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Plainly, risk assessments about water in 2000 were being made according to two knowledge systems, one vernacular and dependent on the senses and the local oral traditions by which such sensuous information was passed on, the other professional and dependent on scientific data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it became apparent during background interviews for their appearances at the inquiry that the Koebel brothers and their staff had been falsifying chlorination records, Cavaluzzo O'Connor's lead counsel in Walkerton and both the Koebels' own attorneys were confounded.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None had experience with fraud that was not grounded in greed (Perkel, 2002, page 203). In the inquiry hearing room many hours were spent reading documents into the record, a process which baffled local residents unfamiliar with lawyerly standards of evidence.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hours, too, were spent trying, in vain, to place on record the oral transmission   . . .   from this individual to that individual of the unspoken consensus shared in town about how to know good water.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Like citizens across Canada, and around the world in the 1980s and 1990s, the people of Walkerton had been persuaded by the promises that smaller public sectors would be more effective and that private services guided by market incentives more efficient.  . . .   In Walkerton these contemporary global ideological currents had amplified rural and small town confidence that modest self-sufficiency and careful attention to spending were the watchwords of good governance.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Koebels, and the many other waterworks operators with grandparented certifications, were not running their systems with “unguided practical experience'' (Grover and Zussman, 1985, cited in Benidickson, 2002, page 132), as some have accused. They were guided by experience their communities shared and respected. They acted not in the absence of knowledge, in a vacuum calling out to be filled, but on a series of propositions held in common which were integral to the valued cognitive sovereignty of their community.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Globe and Mail editorial refused Koebel the sanctuary of ignorance, and condemned his behaviour as a “sort of calculated deceit''. The Toronto Star published a stinging parody by Joey Slinger of a small town where nepotism, drunken debauchery, petty violence, and fractious complicity prevailed along streets piled high with manure.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Finlay, the Herald-Times columnist, by avocation a member of a Christian Peace-makers team, put in print the reasoning of many in Walkerton. Frank Koebel believed in the town's water, as many others in Walkerton and in other communities had for 150 years. “This faith was either misplaced or a bit too old-fashioned. It didn't keep pace with changing technology, land use practices and other environmental considerations.''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References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Beck U, 1992 Risk Society: Towards a New Modernity translated by M Ritter (Sage, London), first published in 1986</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Benidickson J, 2002, “Water supply and sewage infrastructure in Ontario, 1880-1990s'', Walkerton Inquiry Commissioned Paper 1, available on CD version of Report of theWalkerton Inquiry (Queen's Printers, Toronto)</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Bijsterveld K, 2001, “The diabolical symphony of the mechanical age: technology and the symbolism of sound in European and North American noise abatement campaigns, 1900-40'' Social Studies of Science 31(1) 37-70</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Bowker G C, Star S L, 1999 Sorting Things Out: Classification and Its Consequences (MIT Press, Cambridge, MA)</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Bruce Grey Owen SoundHealthUnit, 2000, “The investigative report on theWalkerton outbreak of waterborne gastroenteritis, May - June 2000'' http://www.publichealthgreybruce.on.ca</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Burke P, 1993, ``Notes for a social history of silence in early modern Europe'', in Art of Conversation (Cornell University Press, Ithaca, NY) pp 123 - 141</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Busch L,TanakaK,1996 ``Rites of passage: constructing quality in a commodity subsector'' Science, Technology and Human Values 21(1) 3 - 27</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Classen C, 1993 Worlds of Sense: Exploring the Senses in History and Across Cultures (Routledge, London)</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Csordas T J, 2002 Body/Meaning/Healing (Palgrave Macmillan, New York)</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Deleuze G, 1990 The Logic of Sense translated byMLester, C Stivale, Ed. C V Boundas (Columbia University Press, New York)</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Douglas M, Wildavsky A, 1982 Risk and Culture: An Essay on the Selection of Technological and Environmental Dangers (University of California Press, Berkeley, CA) Grover B, Zussman D, 1985, ``Safeguarding Canadian drinking water'', Inquiry on Federal Water Resources, research paper number 4, ......</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Haraway D, 1991 Simians, Cyborgs and Women: The Reinvention of Nature (Routledge, New York)</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Haraway D, 1997 Modest Witness@Second Millennium. FemaleManß Meets Oncomouse2: Feminism and Technoscience (Routledge, New York)</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Howes D, 2003 Sensual Relations: Engaging the Senses in Culture and Social Theory (University of Michigan Press, Ann Arbor, MI)</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Ingold T, 2000 The Perception of the Environment: Essays on Livelihood, Dwelling and Skill (Routledge, London)</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Jackson M, 1983, “Knowledge of the body'' Man New Series 18 327 - 345</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1987 Science in Action: How to Follow Scientists and Engineers Through Society (Open University Press, Milton Keynes)</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1993 We Have Never Been Modern (Harvard University Press, Cambridge, MA)</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1996 Aramis, or, the Love of Technology translated by C Porter (Harvard University Press, Cambridge, MA) MOE, 1984 Ontario DrinkingWater Objectives Ministry of the Environment, Toronto</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Parr J, 2001, ``Notes for a more sensuous history of twentieth century Canada: the timely, the tacit and the material body'' Canadian Historical Review 82 (4 December) 720 - 745</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Perkel C, 2002 Well of Lies: TheWalkerton Tragedy (McClelland and Stewart, Toronto, Ontario)</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Sancton A, Janik T, 2002, ```Provincial ^ local relations and the drinking water in Ontario'', Walkerton Inquiry Commissioned Paper 3, available on CD version of Report of the Walkerton Inquiry (Queen's Printers, Toronto)</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Sims B, 1999, ``Concrete practices: testing in an earthquake-engineering laboratory'' Social Studies 29(4) 488 - 489</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Swyngedouw E , 1999, ``Modernity and hybridity: nature, regeneracionismo, and the production of the Spanish waterscape, 1890-1930 ''Annals of the Association of American Geographers 89(3) 91 - 102</w:t>
      </w:r>
    </w:p>
    <w:p w:rsidR="002161F9" w:rsidRDefault="002161F9">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Thornton J, 2000 Pandora's Poison: Chlorine,Health and aNew Environmental Strategy (MIT Press, Cambridge MA)</w:t>
      </w: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8"/>
          <w:szCs w:val="18"/>
        </w:rPr>
        <w:t>White G C, 1999 Handbook of Chlorination and Alternative Disinfectants 4th edition (John Wiley, New York)</w:t>
      </w: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http://publish.uwo.ca/~jparr/water.pdf</w:t>
      </w: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Atomization of Transportation</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Ramsin Canon      -    Aug. 13, 2008</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Commonly-owned transit   . . .   allowed supreme freedom of movement. And has the conservative assault on publicly owned transit made Americans more free?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made us dependent on automobile manufacturers, oil companies and insurers. It has created a massive public-private complex that compulsively fleeces taxpayers to build roads. It has made it easier for the government and private entities to track our movements.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Cars must be registered to the state; if we don't want a transponder in our car that keeps a record of where we've traveled, we have to pay double the toll as a tax; cameras at intersections snap our pictures. Cops driving behind us can just run our plates and get our histories. While you can drive wherever you want, you cannot do so with freedom, and you can only really do so if you can afford it — the core conservative principle of freedom for those who can afford it.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tiered system of movement here — the wealthy can afford to move at their leisure (though still ultimately trackable) while the working people are confined to wherever a few "leisure" gallons of gas per week can take them.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Compare that with travel by rail, where a ticket can be purchased with cash. You can hop on and off wherever you choose, without presenting identification; you can go from one end of the country to the other in complete anonymity. There is nobody to track or follow you; if there is a problem with the train, it is somebody else's problem. Once you step off the train, you don't need to worry about where it will park, whether it will be broken into, or stolen. You don't have to insure it.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Remember, no one can harm the man who does no wrong.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conservative and libertarian narrative is of course the opposite of the truth: the assault on public transportation has made movement more difficult, more expensive and less free.    . . .      The car makers, the road builders, the petrochemical producers, the insurance companies have all made enormous fortunes as the options for public travel are slowly eliminated and a car has become a necessity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former Soviet Union, you couldn't move from city to city, province to province, without government approval     . . .    Here was a state, limiting how a person could move. Much better, I guess, to place limitations on how people can move through incremental steps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Conservatives wasted no time in going after Amtrak in the 1970s right at its inception.   . . .   The Reagan public trust busters gleefully halved its budget. The White Flight happening simultaneously made sure that the lion's share of public money went to building highways rather than strengthening public transportation.</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Cars consume huge amounts of public resources    . . .    But it is easy to make private profits    . . .    when we atomize transportation. So we'll keep the leisure class at the public teat, milking us for every last penny before we finally shake them off.</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Air quality in the suburbs, where congestion on surface streets is worse because cars have to move slower, is seriously declining. The roads are more and more full. At a time when the average working American is forced to be more and more productive, we are losing an ever increasing amount of our precious personal time in getting to and from our employers.   . . .  Privatization as a magical key to "efficiency" is a fairy tale.    . . .   The American political class has been brought completely to heel by a Free Market Fundamentalism where up is down, and congestion is freedom.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Carve up the highways. Replace them with rail. Dedicate city streets to buses; incentivize community car liveries. Cars don't make us free. They tie us down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http://eu.missouri.edu/1/pt/2011/10/building-the-eu-without-europeans.html</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Excessive Sovereign Debt Really Hurt Growth? A Critique of This Time Is Different, by Reinhart and Rogoff</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Yeva Nersisyan, L. Randall Wray</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Levy Economics Institute Working Paper No. 603       -       June 2010</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Reinhart and Rogoff (like most economists) worry that if the government as monopoly issuer of the currency simply spends by issuing more currency, this will result in run-away inflation    . . .    But when an economy is operating well below full capacity, lower taxes or more government spending (with proper controls on prices paid by government) will not be inflationary.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majority of economists that talk about deficits and debt have little understanding of the modern monetary regime in which the United States has been operating for the past four decades. It is sufficient to look at the CBO Director’s Letter to a Seventh Grader to realize that even the nonpartisan office that is most respected when it comes to deficit and debt issues misunderstands the causes and consequences of sovereign budget deficits.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“experts” confuse solvency with some measure of “sustainability” based on rather arbitrary deficit-to-GDP and debt-to-GDP ratios.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ratios might be applicable under    . . .   a gold standard, but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it comes to a sovereign government’s budget deficit and debt there are no magic numbers or ratios that are relevant for all countries and all times. There are no thresholds that once crossed will be unsustainable or lead to lower growth. The government’s budget balance in most advanced nations    . . .    merely the other side of the coin of the nongovernment sector’s balance.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monetary theory (Wray 1998) is often interpreted as claiming that there is no real limit to the government’s ability to spend    . . .    Of course there is a limit to the government’s ability to spend and of course it shouldn’t spend an infinite amount. Yet, the sovereign government is not constrained financially, which means that it can never face a solvency issue.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it is certainly constrained in real terms meaning it can face another kind of sustainability issue: how much of the nation’s resources ought to be mobilized by government? Given the level of resources that the nongovernment sector wants to mobilize, how large should the government’s deficit be to mobilize the rest?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five decades ago, Abba Lerner gave the answer to this question. If there are involuntarily unemployed    . . .   people it means the deficit is too low.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is the deficit too large?   . . .   there is no magic number and anyone who comes up with a universal number simply misunderstands the modern monetary regime and macroeconomics.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opposition to magic, Lerner proposed “functional finance” — the notion that the federal government’s budgetary outcome is of no consequence by itself, but rather, what is important is the economic effects    . . .   Inflation is the true limit to government spending not lack of financing.</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debt is merely the result of government deficit    . . .</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References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Blaug, M. 1995. The movie “John Maynard Keynes: Life/Ideas/Legacy.” </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Hilsenrath, J. 2010. “Q&amp;A: Carmen Reinhart on Greece, U.S. Debt and Other ‘Scary Scenarios.’” The Wall Street Journal, February 5.</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Kelton, S., and L.R. Wray. 2009. “Can Euroland Survive?” Public Policy Brief No. 106. Annandale-on-Hudson, NY Levy Economics Institute.</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Koo, R. 2010. “Why inflation might not be around the corner for U.S. and Europe.”</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Nomura Securities Co Ltd, Tokyo, Economic Research—Flash Report, April 27 www.nomura.com/research</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Minsky, H.P. 2008. Stabilizing an Unstable Economy, first edition. New York: McGraw-Hill.</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Reinhart, C., and K. Rogoff. 2009a. This Time is Different: Eight Centuries of Financial Folly. Princeton, NJ: Princeton University Press.</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Reinhart, C., and K. Rogoff. 2009b. “Growth in a Time of Debt.” paper prepared for American Economic Review Papers and Proceedings, December 31 (draft).</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Wray, L.R. 2009. “The rise and fall of money manager capitalism: a Minskian approach.” Cambridge Journal of Economics 33: 807–828.</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Wray, L.R. 1998. Understanding Modern Money: The Key to Full Employment and Price Stability. Cheltenham, UK: Edward Elgar.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http://www.levyinstitute.org/pubs/wp_603.pdf</w:t>
      </w: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8"/>
          <w:szCs w:val="28"/>
        </w:rPr>
        <w:t>Animal Protection Society Management</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Strategy, Structure and Organisational Culture</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pattern of activities in strategy arises from the acquisition, allocation and commitment of a set of resources and capabilities by the organisation, in an effective match with the challenges of its environment, and from the management of the network of relationships with and between stakeholders.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Strategic planning is vital to ensure that your organisation follows the most effective course towards its mission. Animal protection societies are bombarded with an increasingly wide and complex set of demands, and can easily become reduced to reactive ‘fire-fighting’ organisations. This invariable slows down progress towards mission.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Strategy formulation is a vital function of NGO management. A well-focussed and defined strategy is necessary to ensure optimal progress towards mission and vision isachieved - in the same way as a route map (or sea chart) is needed, to ensure the most  direct route is taken between home and destination. Also vital are effective ways to monitor, review and realign strategy in the fast-changing animal protection environment.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Social goals make it more difficult to determine priorities, set measurable targets and evaluate performance.    . . .     Also, there is a marked tendency for the ‘mission driven’ to consistently broaden their focus and workloads. These factors make it even more important to have a well-defined strategy.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Strategy can combine   . . .   Building a valued and preferred position in the</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minds of your target audience    . . .   Developing and communicating powerful and meaningful</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differences between your offerings and those of your competition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Operational planning is agreeing the practical plans to implement the strategy.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animal protection organisation context, it is vital that strategy includes boundaries and limits, and aims for focus and prioritisation. The temptation is to include every issue and problem    . . .   This is likely to be counterproductive in practice.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animal protection societies have both a mission and a vision, although many have only a mission statement.   . . .    It is debatable whether having both a vision and a mission dilutes and confuses what should be a powerful message of intent (particularly for external audiences).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your talents lie in neutering, then you have no need to carry out an international political analysis!! Similarly, if your talents and capacity point to international campaigning, then you should not waste time on identifying local groups and laws…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value of a ‘flagship’ campaign or species as part of the overall fight (the step along the way) should not be overlooked.   . . .    An animal protection organisation needs to build a strong brand, in the same way as does a commercial organisation. Both the society’s name and logo are tied to brand.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ever-changing animal protection environment, an organisation needs to keep abreast of changes to both its internal capabilities and its external environment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will mean the need to develop: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awareness of the broader strategic options and orientations of the sector.</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Greater awareness of the plans and actions of its competitors and collaborators.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Greater awareness of the political environment in which it operates.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ability to ‘think strategically’ about aspects of its day-to-day responsibility.   . .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Different types of organisation will need different structures.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general rule is that, under ideal circumstances, no Chief Executive should have more than four to six departmental heads reporting directly to him/her.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Whilst a single boss could effectively manage a large team (say 30+) of staff employed in simple and uniform data processing duties, a manager of consultants/project analysts carrying out complex duties should have far fewer staff reporting to him/her (maximum six to ten).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Systems and rules can    . . .   minimise workloads and reduce   . . .irritations.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culture of an organisation is something that can have an enormous impact on the way in which an organisation operates    . . .   It is   . . .  something that can be assessed and  . . .  changed over time.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Organisational culture interventions are notorious   . . .  but if culture change is needed this should not deter an organisation from embarking on the process of change. Indeed, it may be the key to its survival.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Person culture is rarely found in animal protection organisations. It is where the individual is the focus of the organisation. Communes   . . .  sometimes have this culture.  . . .  This would be extremely unusual for an animal protection society, where a mission or aim is central.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first founded, an organisation tends to revolve around its founder and his/her vision. As the organisation grows, activities need to be ‘departmentalised’ and organisational systems established. Work is delegated to functional units.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often proves difficult for the founder or first Chief Executive, either because they struggle with the loss of control or because they find themselves ill equipped to deal with their new organisational role.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Often these new systems become inflexible  . . .  Then new systems of communication and coordination are introduced   . . .    </w:t>
      </w:r>
    </w:p>
    <w:p w:rsidR="002161F9" w:rsidRDefault="002161F9">
      <w:pPr>
        <w:widowControl w:val="0"/>
        <w:autoSpaceDE w:val="0"/>
        <w:autoSpaceDN w:val="0"/>
        <w:adjustRightInd w:val="0"/>
        <w:spacing w:after="0" w:line="240" w:lineRule="auto"/>
        <w:rPr>
          <w:rFonts w:ascii="Arial" w:hAnsi="Arial" w:cs="Arial"/>
          <w:sz w:val="10"/>
          <w:szCs w:val="10"/>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http://www.worldanimal.net/documents/2_Strategy.pdf</w:t>
      </w: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Times New Roman" w:hAnsi="Times New Roman" w:cs="Times New Roman"/>
          <w:sz w:val="28"/>
          <w:szCs w:val="28"/>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Ends of Psychoanalysis and the Procedure of the Pass</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Eric Laurent     -    </w:t>
      </w:r>
      <w:r>
        <w:rPr>
          <w:rFonts w:ascii="Arial" w:hAnsi="Arial" w:cs="Arial"/>
          <w:i/>
          <w:iCs/>
          <w:sz w:val="20"/>
          <w:szCs w:val="20"/>
        </w:rPr>
        <w:t>La Cause freudienne</w:t>
      </w:r>
      <w:r>
        <w:rPr>
          <w:rFonts w:ascii="Arial" w:hAnsi="Arial" w:cs="Arial"/>
          <w:sz w:val="20"/>
          <w:szCs w:val="20"/>
        </w:rPr>
        <w:t xml:space="preserve">    -    No 20, 1992</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no longer knows what a father is in the transference, nor if one must marry, nor if one must not do so. It has become quite simply impossible to occupy this place. It is very good that it is so and it is this that Lacan brought to light. In the place of the father, what each subject finds in the course of their analysis, is the repetition of the bad encounter with a jouissance which has a dimension beyond the pleasure principle. It is this which makes for the logical impossibility of treating the always bad encounter with the Ideal, whatever the ideal or the identification might be.</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logic of the analytic journey according to Lacan seems to take the paths of exploring the trajectories of this impossible reconciliation. But this does not make them an impasse. The topology of the surface allows us to represent the enumeration of the possible paths of a surface organised by a hole. It is the impossibility which organises these paths. One can thus understand this just as well with a logic of knowledge as with a logic of paths. The advantage of the fantasy in relation to the symptom, in this perspective, is that it does not displace itself. Its own inertia permits the enumeration of a certain number of logical permutations. Freud was thus able to demonstrate the existence in paranoid delusion of variations on the group Ich liebe Ihm. Or, in neurosis with the formula ‘a child is being beaten’. Thus, in the course of the treatment a way out is constructed based on the fantasy. It is this which, inert, transindividual, perhaps even transnosographical, reveals itself as the key to the most singular of journeys.</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 xml:space="preserve">            Thus, the program of work which Lacan has proposed to us is to construct a psychoanalytic institution which takes into account a horizon of destitution of identification obtained through the process itself, without, for all that, accepting the cynical perspective of a subject who is master of his jouissance thanks to a transference forever returned to zero. Lacan’s ambition was to demonstrate to the analytic community, not only to that of his students, that the truth of psychoanalysis allows singularities to hold together, linked not through an ideal, but through a transference to psychoanalysis, a transference to the analytic discourse. This transference is another name for the desire of the analyst.</w:t>
      </w:r>
    </w:p>
    <w:p w:rsidR="002161F9" w:rsidRDefault="002161F9">
      <w:pPr>
        <w:widowControl w:val="0"/>
        <w:autoSpaceDE w:val="0"/>
        <w:autoSpaceDN w:val="0"/>
        <w:adjustRightInd w:val="0"/>
        <w:spacing w:after="0" w:line="240" w:lineRule="auto"/>
        <w:rPr>
          <w:rFonts w:ascii="Times New Roman" w:hAnsi="Times New Roman" w:cs="Times New Roman"/>
          <w:sz w:val="12"/>
          <w:szCs w:val="12"/>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http://www.londonsociety-nls.org.uk/Laurent_pass.htm</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24"/>
          <w:szCs w:val="2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Decentralisation key to Afghan pullout, says David Miliband</w:t>
      </w: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Korski      -      Spectator     -    January 14, 2011</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fashionable to ridicule David Miliband's search for a post-political career. But in yesterday's Daily Telegraph the former Foreign Secretary showed that – for all his mistakes in office – his intellect, and judgement on a number of key issues, including how to bring the Afghanistan War to an end, was, and remains, razor-sharp:</w:t>
      </w:r>
    </w:p>
    <w:p w:rsidR="002161F9" w:rsidRDefault="002161F9">
      <w:pPr>
        <w:widowControl w:val="0"/>
        <w:autoSpaceDE w:val="0"/>
        <w:autoSpaceDN w:val="0"/>
        <w:adjustRightInd w:val="0"/>
        <w:spacing w:after="0" w:line="240" w:lineRule="auto"/>
        <w:rPr>
          <w:rFonts w:ascii="Arial" w:hAnsi="Arial" w:cs="Arial"/>
          <w:sz w:val="28"/>
          <w:szCs w:val="28"/>
        </w:rPr>
      </w:pPr>
    </w:p>
    <w:p w:rsidR="002161F9" w:rsidRDefault="002161F9">
      <w:pPr>
        <w:widowControl w:val="0"/>
        <w:autoSpaceDE w:val="0"/>
        <w:autoSpaceDN w:val="0"/>
        <w:adjustRightInd w:val="0"/>
        <w:spacing w:after="0" w:line="240" w:lineRule="auto"/>
        <w:rPr>
          <w:rFonts w:ascii="Arial" w:hAnsi="Arial" w:cs="Arial"/>
          <w:sz w:val="28"/>
          <w:szCs w:val="28"/>
        </w:rPr>
      </w:pPr>
    </w:p>
    <w:p w:rsidR="002161F9" w:rsidRDefault="002161F9">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 . .     When Nato trains the Afghan National Army, it's good – but not if you are a Pashtun who sees the predominantly Tajik army as the enemy.</w:t>
      </w:r>
    </w:p>
    <w:p w:rsidR="002161F9" w:rsidRDefault="002161F9">
      <w:pPr>
        <w:widowControl w:val="0"/>
        <w:autoSpaceDE w:val="0"/>
        <w:autoSpaceDN w:val="0"/>
        <w:adjustRightInd w:val="0"/>
        <w:spacing w:after="0" w:line="240" w:lineRule="auto"/>
        <w:rPr>
          <w:rFonts w:ascii="Arial" w:hAnsi="Arial" w:cs="Arial"/>
          <w:sz w:val="60"/>
          <w:szCs w:val="6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South Shields MP goes on to argue for "a twin-track political strategy" pointing out what all those of us who have worked in Kabul know, namely that "Afghan or international armies will not stabilise the country; only a peace deal can do that." Miliband then spells out his route to peace:</w:t>
      </w:r>
    </w:p>
    <w:p w:rsidR="002161F9" w:rsidRDefault="002161F9">
      <w:pPr>
        <w:widowControl w:val="0"/>
        <w:autoSpaceDE w:val="0"/>
        <w:autoSpaceDN w:val="0"/>
        <w:adjustRightInd w:val="0"/>
        <w:spacing w:after="0" w:line="240" w:lineRule="auto"/>
        <w:rPr>
          <w:rFonts w:ascii="Arial" w:hAnsi="Arial" w:cs="Arial"/>
          <w:sz w:val="40"/>
          <w:szCs w:val="40"/>
        </w:rPr>
      </w:pPr>
    </w:p>
    <w:p w:rsidR="002161F9" w:rsidRDefault="002161F9">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 .    We need      . . .     a decentralised series of political settlements in the villages and valleys of Afghanistan, with security forces limited    . . .</w:t>
      </w:r>
    </w:p>
    <w:p w:rsidR="002161F9" w:rsidRDefault="002161F9">
      <w:pPr>
        <w:widowControl w:val="0"/>
        <w:autoSpaceDE w:val="0"/>
        <w:autoSpaceDN w:val="0"/>
        <w:adjustRightInd w:val="0"/>
        <w:spacing w:after="0" w:line="240" w:lineRule="auto"/>
        <w:ind w:left="720" w:right="720"/>
        <w:rPr>
          <w:rFonts w:ascii="Arial" w:hAnsi="Arial" w:cs="Arial"/>
          <w:sz w:val="18"/>
          <w:szCs w:val="18"/>
        </w:rPr>
      </w:pPr>
    </w:p>
    <w:p w:rsidR="002161F9" w:rsidRDefault="002161F9">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 . .     This means agreements which recognise the divergent interests of the . . .  neighbouring countries      . . .     Pakistan      . . .      Iran.</w:t>
      </w:r>
    </w:p>
    <w:p w:rsidR="002161F9" w:rsidRDefault="002161F9">
      <w:pPr>
        <w:widowControl w:val="0"/>
        <w:autoSpaceDE w:val="0"/>
        <w:autoSpaceDN w:val="0"/>
        <w:adjustRightInd w:val="0"/>
        <w:spacing w:after="0" w:line="240" w:lineRule="auto"/>
        <w:rPr>
          <w:rFonts w:ascii="Arial" w:hAnsi="Arial" w:cs="Arial"/>
          <w:sz w:val="48"/>
          <w:szCs w:val="48"/>
        </w:rPr>
      </w:pP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---http://www.spectator.co.uk/coffeehouse/6616323/decentralisation-key-to-afghan-pullout-says-david-miliband.thtml</w:t>
      </w:r>
    </w:p>
    <w:p w:rsidR="002161F9" w:rsidRDefault="002161F9">
      <w:pPr>
        <w:widowControl w:val="0"/>
        <w:autoSpaceDE w:val="0"/>
        <w:autoSpaceDN w:val="0"/>
        <w:adjustRightInd w:val="0"/>
        <w:spacing w:after="0" w:line="240" w:lineRule="auto"/>
        <w:rPr>
          <w:rFonts w:ascii="Times New Roman" w:hAnsi="Times New Roman" w:cs="Times New Roman"/>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Humanitarian Intervention: The American Experience from William McKinley to Barack Obama</w:t>
      </w:r>
    </w:p>
    <w:p w:rsidR="002161F9" w:rsidRDefault="002161F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 Bloodworth    -     ORIGINS volume 5 issue 9     -      The Ohio State University</w:t>
      </w:r>
    </w:p>
    <w:p w:rsidR="002161F9" w:rsidRDefault="002161F9">
      <w:pPr>
        <w:widowControl w:val="0"/>
        <w:autoSpaceDE w:val="0"/>
        <w:autoSpaceDN w:val="0"/>
        <w:adjustRightInd w:val="0"/>
        <w:spacing w:after="0" w:line="240" w:lineRule="auto"/>
        <w:rPr>
          <w:rFonts w:ascii="Arial" w:hAnsi="Arial" w:cs="Arial"/>
          <w:sz w:val="12"/>
          <w:szCs w:val="12"/>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he were alive today, William McKinley would understand Barack Obama's 2011 humanitarian intervention in Libya. Like Obama, McKinley confronted geopolitical disorder and economic distress wrought by swashbuckling capitalism.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Puritans' Reformed Protestantism remains the alpha and omega of U.S. foreign policy and still shapes Americans' view of their role in the world. Key to understanding the connection between the seventeenth and twenty-first centuries is the Puritans' "destinarian" zeal.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radical schism of a messianic outlier in Europe's Protestant movement, the Separatists saw their march into the wilderness as nothing less than a journey to save the world. Four centuries later, U.S. foreign policy still bears the destinarian imprint.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third president's "empire of liberty" amounted to more than acquiring the Louisiana territory for settlement. In his mind, it constituted a move toward the universal liberation of humanity.</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Puritans' distinctive Calvinism ebbed, their proselytizing ardor remained influential among American leaders.    . . .  American Protestants boasted, Mark Noll has written, a "nearly messianic belief in the benefits of liberty … and the providential destiny of the United States."    . . .    With faith in Jesus, liberal individualism, and belief in America's millennial destiny, Protestants pushed west.</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the frontier closed, however, Americans sought new outlets for their destinarian impulses. Moved by genuine charitable impulses and as an emergent power, they found one in the burgeoning humanitarian movement.   . . .    Humanitarianism was a decidedly liberal project premised on the Enlightenment's fundamental hypothesis that all human life is equal.    . . .   It was a grassroots movement emanating from the nation's educated middle class.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justifying the Spanish-American War   . . .    McKinley referred to the "many historical precedents where neighboring States have interfered … to check the hopeless sacrifices of life by internecine conflicts beyond their borders." The president merely followed where the American people had already led.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the proverbial ugly stepchild of American diplomatic history, the Spanish-American War occupies complicated territory. Because foreign policy specialists realize the war's imperialist results, many are reluctant to identify it as a humanitarian intervention.   . . .  the conflict had imperial consequences   . . .    McKinley's spiritual life and Methodist Christian moorings proved decisive in his determination to launch a humanitarian intervention.    . . .    McKinley's humanitarian motives and religious hubris led him to war while also blinding him to the dangers of its aftermath.   .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Progressives backed American entry into World War I as a vehicle to "end all wars and institute world democracy." The wartime experience and postwar peace, however, destroyed their hopes that military engagements could achieve millennial results.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Christian Realists not only backed American nuclear policy, they also supported Truman's Cold War policies.     . . .   Engaged in a global struggle against the Soviets, American policymakers inevitably overreached. From CIA-backed coups to Vietnam, the potent cocktail of power politics, self-interest, and destinarian passion produced bad and, at times, immoral decisions. </w:t>
      </w: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Attempts to remove humanitarian concerns from U.S. policy proved futile. Richard Nixon and Henry Kissinger's realism effectively united conservatives, neo-conservatives, and liberals in their contempt for détente. As a result, disparate politicians — from Jimmy Carter to Henry Jackson and Ronald Reagan — made "human rights" central to their foreign policy worldviews.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Somalia and Bosnia to Kosovo and the Iraq War, Republican and Democratic presidents looked abroad to channel the sacred-secular mission. Producing uneven results, humanitarian interventions lacked sound guiding principles.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Still more hammer than scalpel, humanitarian interventionism remains a decidedly perilous foreign policy tool. Shorn of sound strategy and moral principles, it can easily produce imperialist or destabilizing results.    . . .</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http://ehistory.osu.edu/osu/origins/print.cfm?articleid=69</w:t>
      </w:r>
    </w:p>
    <w:p w:rsidR="002161F9" w:rsidRDefault="002161F9">
      <w:pPr>
        <w:widowControl w:val="0"/>
        <w:autoSpaceDE w:val="0"/>
        <w:autoSpaceDN w:val="0"/>
        <w:adjustRightInd w:val="0"/>
        <w:spacing w:after="0" w:line="240" w:lineRule="auto"/>
        <w:rPr>
          <w:rFonts w:ascii="Arial" w:hAnsi="Arial" w:cs="Arial"/>
          <w:sz w:val="16"/>
          <w:szCs w:val="16"/>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Arial" w:hAnsi="Arial" w:cs="Arial"/>
          <w:sz w:val="20"/>
          <w:szCs w:val="20"/>
        </w:rPr>
      </w:pPr>
    </w:p>
    <w:p w:rsidR="002161F9" w:rsidRDefault="002161F9">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161F9" w:rsidRDefault="002161F9">
      <w:pPr>
        <w:widowControl w:val="0"/>
        <w:autoSpaceDE w:val="0"/>
        <w:autoSpaceDN w:val="0"/>
        <w:adjustRightInd w:val="0"/>
        <w:spacing w:after="0" w:line="240" w:lineRule="auto"/>
        <w:rPr>
          <w:rFonts w:ascii="Times New Roman" w:hAnsi="Times New Roman" w:cs="Times New Roman"/>
          <w:sz w:val="34"/>
          <w:szCs w:val="34"/>
        </w:rPr>
      </w:pPr>
    </w:p>
    <w:p w:rsidR="002161F9" w:rsidRDefault="002161F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161F9" w:rsidSect="002161F9">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1F9" w:rsidRDefault="002161F9" w:rsidP="002161F9">
      <w:pPr>
        <w:spacing w:after="0" w:line="240" w:lineRule="auto"/>
      </w:pPr>
      <w:r>
        <w:separator/>
      </w:r>
    </w:p>
  </w:endnote>
  <w:endnote w:type="continuationSeparator" w:id="0">
    <w:p w:rsidR="002161F9" w:rsidRDefault="002161F9" w:rsidP="002161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F9" w:rsidRDefault="002161F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1F9" w:rsidRDefault="002161F9" w:rsidP="002161F9">
      <w:pPr>
        <w:spacing w:after="0" w:line="240" w:lineRule="auto"/>
      </w:pPr>
      <w:r>
        <w:separator/>
      </w:r>
    </w:p>
  </w:footnote>
  <w:footnote w:type="continuationSeparator" w:id="0">
    <w:p w:rsidR="002161F9" w:rsidRDefault="002161F9" w:rsidP="002161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F9" w:rsidRDefault="002161F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61F9"/>
    <w:rsid w:val="002161F9"/>
    <w:rsid w:val="004264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10456</Words>
  <Characters>59601</Characters>
  <Application>Microsoft Office Word</Application>
  <DocSecurity>4</DocSecurity>
  <Lines>496</Lines>
  <Paragraphs>139</Paragraphs>
  <ScaleCrop>false</ScaleCrop>
  <Company/>
  <LinksUpToDate>false</LinksUpToDate>
  <CharactersWithSpaces>69918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