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Starting with the foreword, written by Loretta Napoleoni, and throughout the book the idea that a major political mistake has been committed is hammered home, with the conclusion that an alliance with Serbia offers the West the only defense against the Islamic “threat”.    . . .</w:t>
      </w:r>
    </w:p>
    <w:p w:rsidR="00986EA8" w:rsidRDefault="00986EA8">
      <w:pPr>
        <w:widowControl w:val="0"/>
        <w:autoSpaceDE w:val="0"/>
        <w:autoSpaceDN w:val="0"/>
        <w:adjustRightInd w:val="0"/>
        <w:spacing w:after="0" w:line="240" w:lineRule="auto"/>
        <w:rPr>
          <w:rFonts w:ascii="Arial" w:hAnsi="Arial" w:cs="Arial"/>
          <w:sz w:val="12"/>
          <w:szCs w:val="12"/>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http://issuu.com/extremism-and-democracy/docs/2008-09-03-book-reviews</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Writers Week: expert in how money makes the world go round</w:t>
      </w: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Press Release – New Zealand Festival    -      March 1, 2014</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idea that globalisation was going to solve all our problems, [[…]] that’s an illusion,”</w:t>
      </w:r>
    </w:p>
    <w:p w:rsidR="00986EA8" w:rsidRDefault="00986EA8">
      <w:pPr>
        <w:widowControl w:val="0"/>
        <w:autoSpaceDE w:val="0"/>
        <w:autoSpaceDN w:val="0"/>
        <w:adjustRightInd w:val="0"/>
        <w:spacing w:after="0" w:line="240" w:lineRule="auto"/>
        <w:rPr>
          <w:rFonts w:ascii="Arial" w:hAnsi="Arial" w:cs="Arial"/>
          <w:sz w:val="12"/>
          <w:szCs w:val="12"/>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Loretta Napoleoni</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Decoding terrorist money laundering is all in a day’s work for best-selling Italian author economist Loretta Napoleoni, and the New Zealand Festival is delighted to host this “economic provocateur” (Time) during Writers Week starting on Friday.</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Napoleoni specialises in understanding the “grey areas” of international economics, where there is no regulation, no law, and terrorism and corruption have global impact. Join Napoleoni and former TVNZ political editor Linda Clark for an exploration of how the terrorist financing networks work and insights into her latest book, Maonomics: Why Chinese Communists Make Better Capitalists Than We Do.</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Napoleoni is the bestselling author of Rogue Economics, Terror Incorporated and Insurgent Iraq. She is an expert on terrorist financing and money laundering, and advises governments and international organisations on counter-terrorism and money laundering.</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regular commentator for CNN, Sky and the BBC, Napoleoni is a columnist for several European financial papers including El Paisand The Guardian and was among the few economists who predicted the latest recession. She lectures around the world on economics, terrorism and money laundering and has been described as “a voice worth listening to.” (Economia Magazine)</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9 March 9.15am at Embassy Theatre</w:t>
      </w: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Tickets $18</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Writers Week is supported by Asia New Zealand, Australia Council for the Arts, Canada Council for the Arts, Creative New Zealand, Flemish Literature Fund, Goethe-Institut, Institut Ramo Llull, Lion Foundation, Museum Art Hotel, National Library of New Zealand, New Zealand Book Council, New Zealand Listener, Royal Society of New Zealand, Swedish Arts Council, Unity Books and Victoria University of Wellington.</w:t>
      </w:r>
    </w:p>
    <w:p w:rsidR="00986EA8" w:rsidRDefault="00986EA8">
      <w:pPr>
        <w:widowControl w:val="0"/>
        <w:autoSpaceDE w:val="0"/>
        <w:autoSpaceDN w:val="0"/>
        <w:adjustRightInd w:val="0"/>
        <w:spacing w:after="0" w:line="240" w:lineRule="auto"/>
        <w:rPr>
          <w:rFonts w:ascii="Arial" w:hAnsi="Arial" w:cs="Arial"/>
          <w:sz w:val="12"/>
          <w:szCs w:val="12"/>
        </w:rPr>
      </w:pPr>
    </w:p>
    <w:p w:rsidR="00986EA8" w:rsidRDefault="00986EA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http://wellington.scoop.co.nz/?tag general-politics&amp;paged=7</w:t>
      </w:r>
    </w:p>
    <w:p w:rsidR="00986EA8" w:rsidRDefault="00986EA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lastRenderedPageBreak/>
        <w:t>Remembering Carl Schmitt: July 11, 1888 – April 7, 1985</w:t>
      </w: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Greg Johnson</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Carl Schmitt was born on July 11, 1888 in Plettenberg, Westphalia, Germany – where he died on April 7, 1985, at the age of 96. The son of a Roman Catholic small businessman, Carl Schmitt studied law in Berlin, Munich, and Strasbourg, graduating and taking his state exams in Strasbourg in 1915. In 1916, he earned his habilitation in Strasbourg, qualifying him to be a law professor. He taught at business schools and universities in Munich, Greifswald, Bonn, Berlin, and Cologne.</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During the Third Reich, Schmitt joined the NSDAP (on May 1, 1933). He was appointed Prussian State Counselor and President of the Union of National Socialist Jurists. He particularly enjoyed the confidence and patronage of Hermann Göring, but from 1936 on was regarded as ideologically unsound by some within the SS. In 1945, he was arrested and interned for more than a year by American occupiers. Schmitt refused “de-Nazification” and retired to the village of his birth where he continued to write, receive visitors, and quietly maintain his political contacts until the end of his life. Among his many visitors were Ernst Jünger, Alexandre Kojève, Guillaume Faye, and Robert Steuckers.</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Schmitt is now widely recognized as one of the great anti-liberal political and legal theorists, whose works are valued on the anti-liberal left as well as on the right. His books are steadily being translated into English.    . . .</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Classic Authors </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Maurice Bardèche - Julius Evola - Ernst Jünger - D. H. Lawrence - Charles Lindbergh </w:t>
      </w: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Jack London - H. P. Lovecraft - Anthony M. Ludovici - Sir Oswald Mosley </w:t>
      </w: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National Vanguard - Friedrich Nietzsche - Revilo Oliver - William Pierce </w:t>
      </w: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Ezra Pound - Saint-Loup - Savitri Devi - Carl Schmitt - Miguel Serrano </w:t>
      </w: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Oswald Spengler - P. R. Stephensen - Jean Thiriart - John Tyndall </w:t>
      </w: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Francis Parker Yockey </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Dear Counter Currents,</w:t>
      </w:r>
    </w:p>
    <w:p w:rsidR="00986EA8" w:rsidRDefault="00986EA8">
      <w:pPr>
        <w:widowControl w:val="0"/>
        <w:autoSpaceDE w:val="0"/>
        <w:autoSpaceDN w:val="0"/>
        <w:adjustRightInd w:val="0"/>
        <w:spacing w:after="0" w:line="240" w:lineRule="auto"/>
        <w:rPr>
          <w:rFonts w:ascii="Times New Roman" w:hAnsi="Times New Roman" w:cs="Times New Roman"/>
          <w:color w:val="FF0000"/>
          <w:sz w:val="24"/>
          <w:szCs w:val="24"/>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t>Please provide all evidence available to you to prove your claim that the authors that you have listed above, “Francis Parker Yockey,” and “Julius Evola,” existed and wrote the literature that has been attributed to them.  }</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http://www.counter-currents.com/2011/07/remembering-carl-schmitt/</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Loretta Napoleoni says little will change after death of King Abdullah, but the Saudis cannot sustain low oil prices for much longer; they have lost control of ISIS; and their big fear is revolution    . . .</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http://therealnews.com/t2/?option=com_content&amp;task=view&amp;id=841</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Policy Brief No. 1   November 2008</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Ron Suskind’s latest book, The Way of the World, caused a minor stir earlier this year. The book accused the Bush administration of having ordered the forgery of documents purporting to prove a link between Saddam Hussein’s government and the terrorist organization Al Qaeda. </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Less noticed was another sensational revelation in Suskind’s book — that shortly before the invasion of Iraq, the British Secret Intelligence Service (SIS) had persuaded the chief of Iraqi intelligence to reveal Hussein’s most important secrets, including the fact that Iraq did not possess any weapons of mass destruction.</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Suskind reported that this was confirmed to him by no less a figure than Richard Dearlove, the head of SIS at the time.</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Kingdom has held three inquiries into the issue of intelligence and weapons of mass destruction (WMD), one conducted by the Intelligence and Security Committee   . . .   and two conducted by independent judges (Lords Butler and Hutton). None of these three inquiries unearthed the information that Suskind found    . . .</w:t>
      </w:r>
    </w:p>
    <w:p w:rsidR="00986EA8" w:rsidRDefault="00986EA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w:t>
      </w:r>
      <w:r>
        <w:rPr>
          <w:rFonts w:ascii="Times New Roman" w:hAnsi="Times New Roman" w:cs="Times New Roman"/>
          <w:sz w:val="20"/>
          <w:szCs w:val="20"/>
        </w:rPr>
        <w:tab/>
        <w:t>---http://socialsciences.uottawa.ca/cepi-cips/eng/documents/CIPS_PolicyBrief_Robinson_Nov2008.pdf</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Being Tough on Terrorism or Respecting Human Rights: A False Dilemma of Authoritarian and Liberal</w:t>
      </w: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Rein Müllerson, King’s College, London University</w:t>
      </w: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American Behavioral Scientist - http://abs.sagepub.com/content/48/12/1626</w:t>
      </w: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DOI: 10.1177/0002764205278081 2005 48: 1626</w:t>
      </w: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Published by: http://www.sagepublications.com</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spent some wonderful days traveling with my family and friends, among them a new one — Musurkul Kabylbekov, whose powerful Toyota Land Cruiser took us around  . . .  lake [Issyk Kul]. Musurkul, a Kazakh who was born and has lived most of his life in Kyrgyzstan, is a successful businessman and journalist with a Ph.D. in philosophy from Almaty University in Kazakhstan. Musurkul is one of the most politically incorrect intellectuals I have ever met and this naturally attracted me. But even in my hatred of political correctness (in the Soviet Union, where in the occupied Estonia I was born and brought up, one had to be officially declared politically correct and morally stable), I sometimes felt embarrassed. But my passionate discussions with Musurkul sharpened some ideas that had interested me for years and brought them home also in a literal sense because my family members — wife Irina and son George — took part in our heated exchanges. Even my Westernized Russian wife, whom Musurkul found extremely intrusive in men’s affairs, did not cease to respect Musurkul. High personal integrity, obvious respect for one’s parents and elders, well-educated and well–brought up sons, and generous Eastern hospitality are all qualities that call for respect.</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Indeed, I find that there are many things besides Chinese food or Japanese ikebana from which the West may benefit while borrowing from the East. Musurkul is a devout Muslim who prays five times a day and observes all the other strict requirements of his faith. From his point of view, the liberal Central Asian Islam, especially its Sufi brand that is still widely professed in the region, is a clear heresy.</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Of course, this is exactly why Sufism appeals to me; namely, because of its heretic foundation and history. Former Soviets, in my opinion and almost by definition, should be either conformists or heretics. There is hardly a middle ground possible.</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Musurkul’s point of view, I exemplify, especially in my capacity as a UN human rights adviser, the weaknesses and softness of the West, whose impending decline he clearly foresees.</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Today’s Western emphasis on human rights and democracy, in Musurkul’s opinion, has similarities with the decay of the Roman Empire, which fell because of its softness under the blows of fierce barbarians who knew neither mercy nor hesitation. He believes that the lack of toughness and the tolerance toward everything and everybody are like worms nibbling away the core of the West in the face of challenges from new barbarians at the gates who also know neither mercy nor hesitation.</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Musurkul says that he not only likes me but in abstract is also even sympathetic to some of my decadent views — yet according to him, they are not for the bloody world that we inhabit. And of course, the world will remain bloody because such is human nature and not much can be done about it.    . . .   </w:t>
      </w: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difficult to disagree with Etzioni’s (2004) [Etzioni, A. (2004). From empire to community: A new approach to international relations. New York: Palgrave.] analysis that the world, with some significant exceptions, is even today “in a Hobbesian state and is not ready for a Lockean one” (p. 116). And although the West may indeed, and I hope it will, show to the rest of the world how many things, including respecting human rights, can be done, there are signs of Western, especially Western European, weakness in the face of multiple challenges. [Cooper, R. (2000). The post-modern state and the world order (2nd ed.). London: Demos. Cooper, R. (2002a, April 7). The new liberal imperialism. Observer, p. 6. Cooper, R. (2002b). The post-modern state. In M. Leonard (Ed.), Reordering the world: The long-term implications of September 11th (pp. 11-20). London: Foreign Policy Centre.]    . . .</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American philosopher Ken Wilber (2001) [Wilber, K. (2001). A theory of everything: An integral vision for business, politics, science and spirituality. Boston: Shambhala.] wrote, “Liberals tend to believe in exterior causes, whereas conservatives tend to believe in interior causes. That is, if an individual is suffering, the typical liberal tends to blame external social institutions (if you are poor it is because you are oppressed by society), whereas the typical conservative tends to blame internal factors (you are poor because you are lazy). (p. 84)   . . .</w:t>
      </w: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Real-life situations vary   . . .   the hawkish or the doveish (or liberal or conservative, for that matter)   . . .   Wilber (2001) called both of these approaches “flatland” thinking and acting: “Truly integral politics would ... equally encourage both interior development and exterior development — the growth and development of consciousness and subjective well-being, as well as the growth and development of economic, social, and material well-being” (p. 88).   . . .</w:t>
      </w: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Alexander Dugin, the leader of the Eurasia movement, observed that “‘al Qaeda’ and ‘international terrorism,’ as a whole, are not more than instruments. The roots of the evil have to be sought amongst those who order the music and not amongst the perpetrators” (“The Beslan Tragedy,” 2004, p. 2). And of course, the whole tonality of the article leaves no doubt that it is Washington that composes the tune.    . . .  Such conspiracy theories are widespread in Russia.    . . .   </w:t>
      </w: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Macbeth’s self-justifications were feeble — and his conscience devoured him. Yes, even Iago was a little lamb too. The imagination and the spiritual strength of Shakespeare’s evildoers stopped short at a dozen corpses. Because they had no ideology.</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Ideology — that is what gives evildoing its long-sought justification and gives the evildoer the necessary steadfastness and determination. ... That is how the agents of the Inquisition fortified their wills: By invoking Christianity; the conquerors of foreign lands, by extolling the grandeur of their Motherland; the colonizers, by civilization; the Nazis, by race; and the Jacobins (early and late), by equality, brotherhood, and the happiness of future generations. (pp. 173-174) This list may go on and on.</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Steven Pinker (2002) noted that “the recurrence of evil acts committed in the name of God shows that they are not random perversions” (p. 189).    . . .   </w:t>
      </w: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Church supported the mass torture and murder that took place during military dictatorships in Argentina, deeming them necessary to “excise the cancer of communism.” The terrorism in Northern Ireland has religious roots, and Operation Rescue claims religious justifications. Militant Judaism not merely claims the right to the West Bank and finds scriptural support for a still Greater Israel, but also blessed those who assassinated Yitzhak Rabin, the peacemaker.    . . .   </w:t>
      </w: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Etzioni (2004) [Etzioni, A. (2004). From empire to community: A new approach to international relations. New York: Palgrave.] observed that those societies that have given up on their strongly “Eastern” sets of beliefs and regimes and have moved sharply in the individualistic direction, but have formed few if any new shared sets of beliefs, experience sharp increases in anti-social behaviour. (p. 23)</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sudden and unprepared introduction of liberal reforms in countries like Russia has indeed led to chaos that has resulted in nostalgia for order (poryadok in Russian and ordnung in German have been the words used to tighten the screws).    . . .    </w:t>
      </w: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advocates of multiculturalism say that there is an inherent value in the rich tapestry of humankind. To a great extent that is true. Having different foods, music, national literatures and even languages immensely enriches us. However, not everything in this rich tapestry is of equal value, not all cultural traits deserve to be retained. Slavery, torture to extract confessions to be used as the surest evidence in court, xenophobia, and many similar things    . . .  Human wrongs are natural for human societies; or to put it otherwise, human nature contains both the capacity for good and for evil — they both are natural for human beings.    . . .   </w:t>
      </w: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Somewhere people eat each other   . . .   adulterous women are stoned to death.      . . .   Turkey  . . .   has to rescind criminal responsibility for adultery if it wants to join the EU.   . . .</w:t>
      </w: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Democracy and human rights  . . . have become universal because they are codified in many UN human rights documents and most, although not all, national constitutions swear allegiance to them.    . . .    At the same time, there [are]   . . .   religious and ideological foundations that are not conducive to their universal acceptance. However, even they are slowly changing because the experience of other peoples is contagious.    . . .   </w:t>
      </w: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social-democratic rule has to be balanced by a conservative rule   . . .   Raymond Seitz (1995), former U.S. ambassador to the United Kingdom, speaking of the United Kingdom and the United States, wrote that “if a democracy becomes only a matter of asserting rights — merely an excuse for licence — then society can rapidly become a melée of self-indulgence” (p. 8).    . . .    Excessive individualism can also be counterproductive to human rights. Jack Donnelly (1999) warned that the common complaint that Westerners in general, and Americans in particular, have gone “rights crazy” merits serious consideration.</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must guard against what might be called the imperialism of rights, the view that all important goods should be recognised as and implemented through the mechanisms of (human) rights.    . . . </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---http://internationalhumanrightslaw.net/wp-content/uploads/2011/01/Being-tough-on-terrorism-or-respecting-human-rights-A-false-dilemma-of-authoritarian-and-liberal-responses.pdf</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Times New Roman" w:hAnsi="Times New Roman" w:cs="Times New Roman"/>
          <w:sz w:val="28"/>
          <w:szCs w:val="28"/>
        </w:rPr>
      </w:pPr>
    </w:p>
    <w:p w:rsidR="00986EA8" w:rsidRDefault="00986EA8">
      <w:pPr>
        <w:widowControl w:val="0"/>
        <w:autoSpaceDE w:val="0"/>
        <w:autoSpaceDN w:val="0"/>
        <w:adjustRightInd w:val="0"/>
        <w:spacing w:after="0" w:line="240" w:lineRule="auto"/>
        <w:rPr>
          <w:rFonts w:ascii="Times New Roman" w:hAnsi="Times New Roman" w:cs="Times New Roman"/>
          <w:sz w:val="28"/>
          <w:szCs w:val="28"/>
        </w:rPr>
      </w:pPr>
    </w:p>
    <w:p w:rsidR="00986EA8" w:rsidRDefault="00986EA8">
      <w:pPr>
        <w:widowControl w:val="0"/>
        <w:autoSpaceDE w:val="0"/>
        <w:autoSpaceDN w:val="0"/>
        <w:adjustRightInd w:val="0"/>
        <w:spacing w:after="0" w:line="240" w:lineRule="auto"/>
        <w:rPr>
          <w:rFonts w:ascii="Times New Roman" w:hAnsi="Times New Roman" w:cs="Times New Roman"/>
          <w:sz w:val="28"/>
          <w:szCs w:val="28"/>
        </w:rPr>
      </w:pPr>
    </w:p>
    <w:p w:rsidR="00986EA8" w:rsidRDefault="00986EA8">
      <w:pPr>
        <w:widowControl w:val="0"/>
        <w:autoSpaceDE w:val="0"/>
        <w:autoSpaceDN w:val="0"/>
        <w:adjustRightInd w:val="0"/>
        <w:spacing w:after="0" w:line="240" w:lineRule="auto"/>
        <w:rPr>
          <w:rFonts w:ascii="Times New Roman" w:hAnsi="Times New Roman" w:cs="Times New Roman"/>
          <w:sz w:val="28"/>
          <w:szCs w:val="28"/>
        </w:rPr>
      </w:pPr>
    </w:p>
    <w:p w:rsidR="00986EA8" w:rsidRDefault="00986EA8">
      <w:pPr>
        <w:widowControl w:val="0"/>
        <w:autoSpaceDE w:val="0"/>
        <w:autoSpaceDN w:val="0"/>
        <w:adjustRightInd w:val="0"/>
        <w:spacing w:after="0" w:line="240" w:lineRule="auto"/>
        <w:rPr>
          <w:rFonts w:ascii="Times New Roman" w:hAnsi="Times New Roman" w:cs="Times New Roman"/>
          <w:sz w:val="28"/>
          <w:szCs w:val="28"/>
        </w:rPr>
      </w:pPr>
    </w:p>
    <w:p w:rsidR="00986EA8" w:rsidRDefault="00986EA8">
      <w:pPr>
        <w:widowControl w:val="0"/>
        <w:autoSpaceDE w:val="0"/>
        <w:autoSpaceDN w:val="0"/>
        <w:adjustRightInd w:val="0"/>
        <w:spacing w:after="0" w:line="240" w:lineRule="auto"/>
        <w:rPr>
          <w:rFonts w:ascii="Times New Roman" w:hAnsi="Times New Roman" w:cs="Times New Roman"/>
          <w:sz w:val="28"/>
          <w:szCs w:val="28"/>
        </w:rPr>
      </w:pPr>
    </w:p>
    <w:p w:rsidR="00986EA8" w:rsidRDefault="00986EA8">
      <w:pPr>
        <w:widowControl w:val="0"/>
        <w:autoSpaceDE w:val="0"/>
        <w:autoSpaceDN w:val="0"/>
        <w:adjustRightInd w:val="0"/>
        <w:spacing w:after="0" w:line="240" w:lineRule="auto"/>
        <w:rPr>
          <w:rFonts w:ascii="Times New Roman" w:hAnsi="Times New Roman" w:cs="Times New Roman"/>
          <w:sz w:val="28"/>
          <w:szCs w:val="28"/>
        </w:rPr>
      </w:pPr>
    </w:p>
    <w:p w:rsidR="00986EA8" w:rsidRDefault="00986EA8">
      <w:pPr>
        <w:widowControl w:val="0"/>
        <w:autoSpaceDE w:val="0"/>
        <w:autoSpaceDN w:val="0"/>
        <w:adjustRightInd w:val="0"/>
        <w:spacing w:after="0" w:line="240" w:lineRule="auto"/>
        <w:rPr>
          <w:rFonts w:ascii="Times New Roman" w:hAnsi="Times New Roman" w:cs="Times New Roman"/>
          <w:sz w:val="28"/>
          <w:szCs w:val="28"/>
        </w:rPr>
      </w:pPr>
    </w:p>
    <w:p w:rsidR="00986EA8" w:rsidRDefault="00986EA8">
      <w:pPr>
        <w:widowControl w:val="0"/>
        <w:autoSpaceDE w:val="0"/>
        <w:autoSpaceDN w:val="0"/>
        <w:adjustRightInd w:val="0"/>
        <w:spacing w:after="0" w:line="240" w:lineRule="auto"/>
        <w:rPr>
          <w:rFonts w:ascii="Times New Roman" w:hAnsi="Times New Roman" w:cs="Times New Roman"/>
          <w:sz w:val="28"/>
          <w:szCs w:val="28"/>
        </w:rPr>
      </w:pPr>
    </w:p>
    <w:p w:rsidR="00986EA8" w:rsidRDefault="00986EA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Do Counterterrorism and Counterinsurgency go Together?</w:t>
      </w:r>
    </w:p>
    <w:p w:rsidR="00986EA8" w:rsidRDefault="00986EA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Michael J Boyle</w:t>
      </w:r>
    </w:p>
    <w:p w:rsidR="00986EA8" w:rsidRDefault="00986EA8">
      <w:pPr>
        <w:widowControl w:val="0"/>
        <w:autoSpaceDE w:val="0"/>
        <w:autoSpaceDN w:val="0"/>
        <w:adjustRightInd w:val="0"/>
        <w:spacing w:after="0" w:line="240" w:lineRule="auto"/>
        <w:rPr>
          <w:rFonts w:ascii="Arial" w:hAnsi="Arial" w:cs="Arial"/>
          <w:sz w:val="12"/>
          <w:szCs w:val="12"/>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of the underlying assumptions of the contemporary debate over Afghanistan is that counterterrorism objectives can be achieved through counterinsurgency methods. In fact, counterterrorism and counterinsurgency are very different - often contradictory - models of warfare, each with its own associated assumptions regarding the role of force, the importance of winning support among the local population, and the necessity of building strong and representative government.</w:t>
      </w:r>
    </w:p>
    <w:p w:rsidR="00986EA8" w:rsidRDefault="00986EA8">
      <w:pPr>
        <w:widowControl w:val="0"/>
        <w:autoSpaceDE w:val="0"/>
        <w:autoSpaceDN w:val="0"/>
        <w:adjustRightInd w:val="0"/>
        <w:spacing w:after="0" w:line="240" w:lineRule="auto"/>
        <w:rPr>
          <w:rFonts w:ascii="Times New Roman" w:hAnsi="Times New Roman" w:cs="Times New Roman"/>
          <w:sz w:val="12"/>
          <w:szCs w:val="12"/>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http://www.chathamhouse.org/publications/ia/archive/view/163521</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Michael Boyle, Former Obama Counter-Terrorism Adviser</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“Michael Boyle, who was on Obama's counter-terrorism group in the run-up to his election in 2008, said the US administration's growing reliance on drone technology was having "adverse strategic effects that have not been properly weighed against the tactical gains associated with killing terrorists … The vast increase in the number of deaths of low-ranking operatives has deepened political resistance to the US programme in Pakistan, Yemen and other countries."</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 Drone Attacks 'Counter-Productive', Former Obama Security Adviser Claims,” January 7, 2013, The Guardian</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http://warisacrime.org/lesssafe</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Counterterrorism and Counterinsurgency: Competing Approaches to Anti-Terrorism</w:t>
      </w: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Scott Adam, Deakin University    -     May 2012    -     E-IR   -     June 19, 2012</w:t>
      </w: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Written for: Craig Snyder</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Counterterrorism (CT) and Counterinsurgency (COIN) are the competing approaches.   . . .    CT can undermine Western legitimacy and in fact encourage terrorism.    . . .   Overall CT and COIN approaches are counterproductive.     . . .   </w:t>
      </w: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CT’s approach to the threat of terrorism is the use of force.  COIN’s is the use of the political tools of dialogue and persuasion.  Both can be considered proactive, and differ from reactionary domestic anti-terrorism    . . .</w:t>
      </w: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Western CT efforts in part lead to insurgencies in both Iraq and Afghanistan (Bell 2011: 309-10).  While both conflicts resulted in the removal of ‘brutal’ regimes (Jackson et al 2011: 257), they increased the threat of terrorism.</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attackers responsible the London attacks cited UK involvement in Iraq, necessary for COIN, as a motive for their attacks (Jackson et al 2011: 243).  Furthermore, a COIN approach can also increase the threat of violence.    . . .   It can fuel grievances    . . .   A COIN approach with a larger ‘footprint’   . . .   increased grievances.  The two approaches were counterproductive, and caused terrorism.     . . .</w:t>
      </w: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COIN focuses humanitarian and economic development which can alleviate poverty (Bell 2011: 321).  The goal of COIN is state building (Boyle 2010: 345).  CT, however, can undermine this.   CT is force based.    . . .</w:t>
      </w: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COIN is largely based on ‘moral rectitude’  (Cassidy 2010: 40).  It is based on the notion that Western political values are right or correct.     . . .   Although it is disputed, targeted killings are prohibited under international law (Wilner 2010: 310).  This raises questions over the righteousness of Western actions.    . . .    In attempting to deal with the threat of terrorism, the approaches are counterproductive.  COIN is used to promote the appeal and legitimacy of Western ideals and values.  CT challenges this as it is a more blunt response and can operate outside legal norms.    . . .   In dealing with the threat of terrorism, CT and COIN are counterproductive.</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Bibliography</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Antal, John (2009), ‘Counter-terrorism or Counterinsurgency? The Way Ahead in Afghanistan’, Military Technology, vol. 33, no. 12, pp. 46-49.</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BBC (8 April, 2012), ‘Afghan night raids: Kabul signs deal with US forces’, http://www.bbc.co.uk/news/world-asia-17649526 [accessed 28 April, 2012].</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Bell, Colleen (2011), ‘Civilianising Warfare: Ways of War and Peace in Modern Counterinsurgency’, Journal of International Relations and Development, vol. 14, no. 3, pp. 309-332.</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Boyle, Michael J. (2010), ‘Do Counterterrorism and Counterinsurgency Go Together?’, International Affairs, vol. 86, no. 2, pp. 333-353.</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Cassidy, Robert M. (2010), ‘The Afghanistan Choice: Peace or Punishment in the Pashtun Belt’, The RUSI Journal, vol. 155, no. 4, pp. 38-44.</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Cornish, Paul (2009), ‘The United States and Counterinsurgency: Political First, Political Last, Political Always’, International Affairs, vol. 85, no. 1, pp. 61-79.</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Crouch, Cameron I. (2009), Managing Terrorism and Insurgency: Regeneration, Recruitment and Attrition, Routledge, London and New York.</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Department of Prime Minister and Cabinet (2010), Counter-terrorism White Paper: Securing Australia/Protecting Our Community, Commonwealth of Australia, Canberra.</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Jackson, Richard, Lee Jarvis, Jereon Gunning and Marie Breen Smyth (2011), Terrorism: A Critical Introduction, Palgrave Macmillan, Basingstoke.</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Kilcullen, David J. (2007), ‘Subversion and Countersubversion in the Campaign against Terrorism in Europe’, Studies in Conflict and Terrorism, vol. 30, no. 8, pp. 647-666.</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Morris, Travis (2012), ‘Achieving National Security: Comparing Four State Security Models’, Police Practice and Research, vol. 13, no. 2, pp. 121-137.</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Whitakker, David J (ed) (2007), The Terrorism Reader, Routledge, London and New York.</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Wilner, Alex S. (2010), ‘Targeted Killings in Afghanistan: Measuring Coercion and Deterrence in Counterterrorism and Counterinsurgency’, Studies in Conflict and Terrorism, vol. 33, no. 4, pp. 307-329.</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---http://www.e-ir.info/2012/06/19/counterterrorism-and-counterinsurgency-competing-approaches-to-anti-terrorism/</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Times New Roman" w:hAnsi="Times New Roman" w:cs="Times New Roman"/>
          <w:sz w:val="24"/>
          <w:szCs w:val="24"/>
        </w:rPr>
      </w:pPr>
    </w:p>
    <w:p w:rsidR="00986EA8" w:rsidRDefault="00986EA8">
      <w:pPr>
        <w:widowControl w:val="0"/>
        <w:autoSpaceDE w:val="0"/>
        <w:autoSpaceDN w:val="0"/>
        <w:adjustRightInd w:val="0"/>
        <w:spacing w:after="0" w:line="240" w:lineRule="auto"/>
        <w:rPr>
          <w:rFonts w:ascii="Times New Roman" w:hAnsi="Times New Roman" w:cs="Times New Roman"/>
          <w:sz w:val="24"/>
          <w:szCs w:val="24"/>
        </w:rPr>
      </w:pPr>
    </w:p>
    <w:p w:rsidR="00986EA8" w:rsidRDefault="00986EA8">
      <w:pPr>
        <w:widowControl w:val="0"/>
        <w:autoSpaceDE w:val="0"/>
        <w:autoSpaceDN w:val="0"/>
        <w:adjustRightInd w:val="0"/>
        <w:spacing w:after="0" w:line="240" w:lineRule="auto"/>
        <w:rPr>
          <w:rFonts w:ascii="Times New Roman" w:hAnsi="Times New Roman" w:cs="Times New Roman"/>
          <w:sz w:val="24"/>
          <w:szCs w:val="24"/>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Times New Roman" w:hAnsi="Times New Roman" w:cs="Times New Roman"/>
          <w:sz w:val="24"/>
          <w:szCs w:val="24"/>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Why Arming Kiev Is a Really, Really Bad Idea</w:t>
      </w: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Stephen M. Walt    -   Foreign Policy    -    Feb. 9/12, 2015</w:t>
      </w: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Page 1 of 10</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Should the United States start arming Ukraine, so it can better resist and maybe even defeat the Russian-backed rebels in its eastern provinces?   . . .   Unless cooler heads prevail  . . .  the United States seems to be moving toward raising the stakes in Ukraine.</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decision is somewhat surprising, however, because few experts think this bankrupt and divided country [Ukraine] is a vital strategic interest    . . .  Does sending Ukraine a bunch of advanced weaponry make sense? The answer is no.    . . .   Open-ended NATO expansion has done more to poison relations with Russia than any other single Western policy.</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Those who favor arming Ukraine are also applying “deterrence model” remedies to what is almost certainly a “spiral model” situation.</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his classic book Perception and Misperception in International Politics, political scientist</w:t>
      </w: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Robert Jervis pointed out that   . . .   when a state’s [Russia’s] seemingly aggressive policy is motivated primarily by fear or insecurity  . . .   Making threats and trying to deter or coerce them will only reinforce their fears and make them even more aggressive    . . .   </w:t>
      </w: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Moreover, the Ukraine crisis did not begin with a bold Russian move or even a series of illegitimate Russian demands; it began when the United States and European Union tried to move Ukraine out of Russia’s orbit and into the West’s sphere of influence.   . . .  Moscow made it abundantly clear it would fight this process tooth and nail. U.S. leaders blithely ignored these warnings    . . .  The failure of U.S. diplomats to anticipate Putin’s heavy-handed response was an act of remarkable diplomatic incompetence, and one can only wonder why the individuals who helped produce this train wreck still have their jobs.   . . .   Arming Ukraine will only make things worse.</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certainly will not enable Ukraine to defeat the far stronger Russian army; it will simply intensify the conflict and add to the suffering of the Ukrainian people.    . . .</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t>{  And therefore, to ease the suffering of the Baltic states, they too should be disarmed, so that they may be less painfully conquered, when their time comes.  }</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Today, those who want to arm Ukraine are demanding that Russia cease all of its activities in Ukraine  . . .  and let Ukraine join the EU and/or NATO if it wants    . . .  In other words, they expect Moscow to abandon its own interests in Ukraine, full stop.   . . .   Let’s not forget the broader costs of this feckless policy. We are pushing Russia closer to China    . . .</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---http://foreignpolicy.com/2015/02/09/how-not-to-save-ukraine-arming-kiev-is-a-bad-idea/?wp_login_redirect=0</w:t>
      </w: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Times New Roman" w:hAnsi="Times New Roman" w:cs="Times New Roman"/>
          <w:sz w:val="20"/>
          <w:szCs w:val="20"/>
        </w:rPr>
        <w:t>--- http://www.midcoastforum.org/wp-content/uploads/WaltOnUkraine.pdf</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12"/>
          <w:szCs w:val="12"/>
        </w:rPr>
      </w:pPr>
      <w:r>
        <w:rPr>
          <w:rFonts w:ascii="Times New Roman" w:hAnsi="Times New Roman" w:cs="Times New Roman"/>
          <w:sz w:val="28"/>
          <w:szCs w:val="28"/>
        </w:rPr>
        <w:t>The Responsibility to Protect (r2p)</w:t>
      </w:r>
    </w:p>
    <w:p w:rsidR="00986EA8" w:rsidRDefault="00986EA8">
      <w:pPr>
        <w:widowControl w:val="0"/>
        <w:autoSpaceDE w:val="0"/>
        <w:autoSpaceDN w:val="0"/>
        <w:adjustRightInd w:val="0"/>
        <w:spacing w:after="0" w:line="240" w:lineRule="auto"/>
        <w:rPr>
          <w:rFonts w:ascii="Arial" w:hAnsi="Arial" w:cs="Arial"/>
          <w:sz w:val="12"/>
          <w:szCs w:val="12"/>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Working Group on R2P</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Working Group on R2P is a joint project of the US Holocaust Memorial Museum, the US Institute of Peace, and the Brookings Institution. It is co-chaired by Madeleine K. Albright and Richard S.Williamson, who released their final report on July 24, 2013.</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and R2P: From Words to Action</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July 2013 symposium brought together leaders from inside and outside government to examine the utility of the Responsibility to Protect (R2P) as a tool for preventing the world’s worst crimes.</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Genocide Prevention Task Force</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2008 report of the Genocide Prevention Task Force provided practical policy recommendations to enhance the capacity of the US government to respond to emerging threats of genocide and mass atrocities.</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---http://www.ushmm.org/confront-genocide/how-to-prevent-genocide/responsibility-to-protect</w:t>
      </w:r>
    </w:p>
    <w:p w:rsidR="00986EA8" w:rsidRDefault="00986EA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Museum Statement on Crimes against Humanity in Iraq</w:t>
      </w: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August 8, 2014</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United States Holocaust Memorial Museum today condemned the ongoing crimes against humanity being committed against religious minorities — including both Christians and Muslims — by the self-proclaimed Islamic State (IS)   . . .   </w:t>
      </w: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“Widespread, systematic attacks against civilians targeted for their religious affiliation are crimes against humanity and represent a clear early warning sign of genocide,” said Michael Chertoff, chairman of the Museum’s Committee on Conscience. “The Iraqi government has a responsibility to protect all Iraqis from such crimes, and the international community should act to ensure that this responsibility is fulfilled.”    . . .</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---http://www.ushmm.org/information/press/press-releases/museum-statement-on-crimes-against-humanity-in-iraq</w:t>
      </w:r>
    </w:p>
    <w:p w:rsidR="00986EA8" w:rsidRDefault="00986EA8">
      <w:pPr>
        <w:widowControl w:val="0"/>
        <w:autoSpaceDE w:val="0"/>
        <w:autoSpaceDN w:val="0"/>
        <w:adjustRightInd w:val="0"/>
        <w:spacing w:after="0" w:line="240" w:lineRule="auto"/>
        <w:rPr>
          <w:rFonts w:ascii="Times New Roman" w:hAnsi="Times New Roman" w:cs="Times New Roman"/>
          <w:sz w:val="24"/>
          <w:szCs w:val="24"/>
        </w:rPr>
      </w:pPr>
    </w:p>
    <w:p w:rsidR="00986EA8" w:rsidRDefault="00986EA8">
      <w:pPr>
        <w:widowControl w:val="0"/>
        <w:autoSpaceDE w:val="0"/>
        <w:autoSpaceDN w:val="0"/>
        <w:adjustRightInd w:val="0"/>
        <w:spacing w:after="0" w:line="240" w:lineRule="auto"/>
        <w:rPr>
          <w:rFonts w:ascii="Times New Roman" w:hAnsi="Times New Roman" w:cs="Times New Roman"/>
          <w:sz w:val="24"/>
          <w:szCs w:val="24"/>
        </w:rPr>
      </w:pPr>
    </w:p>
    <w:p w:rsidR="00986EA8" w:rsidRDefault="00986EA8">
      <w:pPr>
        <w:widowControl w:val="0"/>
        <w:autoSpaceDE w:val="0"/>
        <w:autoSpaceDN w:val="0"/>
        <w:adjustRightInd w:val="0"/>
        <w:spacing w:after="0" w:line="240" w:lineRule="auto"/>
        <w:rPr>
          <w:rFonts w:ascii="Times New Roman" w:hAnsi="Times New Roman" w:cs="Times New Roman"/>
          <w:sz w:val="24"/>
          <w:szCs w:val="24"/>
        </w:rPr>
      </w:pPr>
    </w:p>
    <w:p w:rsidR="00986EA8" w:rsidRDefault="00986EA8">
      <w:pPr>
        <w:widowControl w:val="0"/>
        <w:autoSpaceDE w:val="0"/>
        <w:autoSpaceDN w:val="0"/>
        <w:adjustRightInd w:val="0"/>
        <w:spacing w:after="0" w:line="240" w:lineRule="auto"/>
        <w:rPr>
          <w:rFonts w:ascii="Times New Roman" w:hAnsi="Times New Roman" w:cs="Times New Roman"/>
          <w:sz w:val="24"/>
          <w:szCs w:val="24"/>
        </w:rPr>
      </w:pPr>
    </w:p>
    <w:p w:rsidR="00986EA8" w:rsidRDefault="00986EA8">
      <w:pPr>
        <w:widowControl w:val="0"/>
        <w:autoSpaceDE w:val="0"/>
        <w:autoSpaceDN w:val="0"/>
        <w:adjustRightInd w:val="0"/>
        <w:spacing w:after="0" w:line="240" w:lineRule="auto"/>
        <w:rPr>
          <w:rFonts w:ascii="Times New Roman" w:hAnsi="Times New Roman" w:cs="Times New Roman"/>
          <w:sz w:val="24"/>
          <w:szCs w:val="24"/>
        </w:rPr>
      </w:pPr>
    </w:p>
    <w:p w:rsidR="00986EA8" w:rsidRDefault="00986EA8">
      <w:pPr>
        <w:widowControl w:val="0"/>
        <w:autoSpaceDE w:val="0"/>
        <w:autoSpaceDN w:val="0"/>
        <w:adjustRightInd w:val="0"/>
        <w:spacing w:after="0" w:line="240" w:lineRule="auto"/>
        <w:rPr>
          <w:rFonts w:ascii="Times New Roman" w:hAnsi="Times New Roman" w:cs="Times New Roman"/>
          <w:sz w:val="24"/>
          <w:szCs w:val="24"/>
        </w:rPr>
      </w:pPr>
    </w:p>
    <w:p w:rsidR="00986EA8" w:rsidRDefault="00986EA8">
      <w:pPr>
        <w:widowControl w:val="0"/>
        <w:autoSpaceDE w:val="0"/>
        <w:autoSpaceDN w:val="0"/>
        <w:adjustRightInd w:val="0"/>
        <w:spacing w:after="0" w:line="240" w:lineRule="auto"/>
        <w:rPr>
          <w:rFonts w:ascii="Times New Roman" w:hAnsi="Times New Roman" w:cs="Times New Roman"/>
          <w:sz w:val="24"/>
          <w:szCs w:val="24"/>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Business As Usual: Britain’s Heath Government and Chile’s 9/11</w:t>
      </w: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Josh Watts     -     www.alborada.net     -    Sept. 10, 2013</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year marks the 40th anniversary of the coup d’état of 11 September 1973 that overthrew president Salvador Allende of Chile and the Popular Unity (Unidad Popular) government he headed.   . . .</w:t>
      </w: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13 September 1973, in a meeting of ministers of the Heath government, the Foreign Secretary Alec Douglas-Home “proposed that the question of recognising the new regime should be determined in accordance with the usual criteria”. What qualifies for “usual criteria” was hinted at by Douglas-Home in a letter three days after the coup, wherein he explained that though he “greatly regret[s the violence that has overtaken the country, we also have substantial interests in Chile which do require us to maintain working relations with the government of the day”. On 22 September the British government recognised the Pinochet dictatorship.</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not for us to pass judgement on Chile’s internal affairs” argued Julian Amery, Minister of the Foreign and Commonwealth Office (FCO), in the House of Commons on 7 November; “We shall seek to maintain good relations with the new Chilean Government as we did with its predecessor, albeit whilst regretting that a long-established constitutional régime should have been overthrown by force”. The junta, he added, “have assured us that everything will be carried out in accordance with the due processes of Chilean law”   . . .</w:t>
      </w: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Meanwhile a state of siege had been declared the day after the coup, while, in the words of the British ambassador in Chile, Reginald Seconde only a few days after, “it is likely that casualties run into the thousands, certainly it has been far from a bloodless coup” – so bloody even that the ambassador believed “it would not be in anyone’s interests to identify too closely with those responsible for the coup”.</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Indeed, the Santiago morgue was struggling to cope with all the bodies two weeks afterwards. General Pinochet’s own orders on the day reflect this: “That whole pile of pigs there . . . They must be seized and up, into the plane, without clothes, with whatever they have, out!” A US Defence Intelligence Agency report described methods employed as “straight out of the Spanish Inquisition”  - an observation with which Pinochet himself happened to agree. [Augusto Pinochet, cited in Constable and Valenzuela, A Nation of Enemies, 1993, p. 79]    . . .</w:t>
      </w: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defence of the government’s recognition of the junta, for example, Julian Amery stressed that “We have substantial economic interests in the country, both in trade and investment”.   . . .    A draft response by the Foreign Office to a parliamentary question: “Our priorities in Latin America are determined largely by our trading and investment interests”. [Mark Curtis, Unpeople: Britain’s Secret Human Rights Abuses (London: Vintage, 2004)]    . . .</w:t>
      </w: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While the British government speaks of a commitment to democracy and human rights, such a proclamation does not stand up to scrutiny.   . . .    British “interests” – typically trade and investment – trump any concern for human rights or the democratic process – and, in fact, a sincere concern is difficult to come by. Indeed, Mark Curtis, whose work formed part of the inspiration for this study, has written:  “humanitarian concerns do not figure at all in the rationale behind British foreign policy. In the thousands of government files I have looked through for this [[book, Unpeople: Britain’s Secret Human Rights Abuses]] and other books, I have barely seen any reference to human rights at all. Where such concerns are invoked, they are only for public-relations purposes”.    . . .   “The culture of lying to and misleading the electorate is deeply embedded in British policy-making”, writes Curtis.   . . .    The warm relationship of Margaret Thatcher’s Conservative government towards Pinochet’s Chile is well known    . . .</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http://alborada.net/watts-heath-uk-pinochet-chile-0913</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Julian Amery  . . .    was born in 1919 and educated at Eton and Balliol College, Oxford, before starting work as a left wing war correspondent in the Spanish Civil War from 1938 to 1939.    . . .    Julian was an MI6 operative, although it isn't really known what he has been doing in this function. During WWII, he enlisted as a sergeant in the RAF, but was rapidly transferred to the Army, with the rank of Captain   . . .   In 1950 he became a Conservative member of parliament. Married Harold Macmillan's daughter in 1950    . . .</w:t>
      </w: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Like the Cecils, Amery was one of the most prominent supports of Ian Smith's racist white-minority government in Rhodesia in the 1970s.    . . .    Attacked Thatcher in 1979 in a bitter and powerful speech over her decision to abandon the Rhodesian Muzorewa-Smith government    . . .   Became a Baron in 1992.   . . .</w:t>
      </w: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16"/>
          <w:szCs w:val="16"/>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older brother of Julian, John Amery, was a gun-runner for General Franco (Knight of Malta) and an Italian intelligence officer. He met with Jacques Doriot, a French Fascist leader and was recruited by the Nazis. In November 1942, he began making pro Adolf Hitler broadcasts in Berlin.    . . .   Amery was captured by Italian partisans in Milan in April 1945  . . .  After being interviewed by MI5 John Amery was tried for high treason and hanged.</w:t>
      </w:r>
    </w:p>
    <w:p w:rsidR="00986EA8" w:rsidRDefault="00986EA8">
      <w:pPr>
        <w:widowControl w:val="0"/>
        <w:autoSpaceDE w:val="0"/>
        <w:autoSpaceDN w:val="0"/>
        <w:adjustRightInd w:val="0"/>
        <w:spacing w:after="0" w:line="240" w:lineRule="auto"/>
        <w:rPr>
          <w:rFonts w:ascii="Arial" w:hAnsi="Arial" w:cs="Arial"/>
          <w:sz w:val="12"/>
          <w:szCs w:val="12"/>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https://deeppoliticsforum.com/forums/showthread.php?1220-Lord-Julian-Amery</w:t>
      </w:r>
    </w:p>
    <w:p w:rsidR="00986EA8" w:rsidRDefault="00986EA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IR 331 - War, Peace and Security Spring 2006</w:t>
      </w: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Pinar Bilgin</w:t>
      </w:r>
    </w:p>
    <w:p w:rsidR="00986EA8" w:rsidRDefault="00986EA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http://www.bilkent.edu.tr/~pbilgin    . . .</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 .  Week 2 - War and Strategy</w:t>
      </w: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Tarak Barkawi, Globalization and War (Lanham, MD: Rowman &amp; Littlefield, 2006), IX-XV, 1-25.</w:t>
      </w: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Recommended readings</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Ken Booth, 'Strategy,' in Contemporary International Relations: a Guide to Theory, A.J.R. Groom and Margot Light, eds. (London: Pinter, 1994) 109-127.</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Ken Booth and Eric Herring, Keyguide to Information Sources in Strategic Studies (London: Mansell, 1994).</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Lawrence Freedman, ed., War (Oxford: Oxford University Press, 1994), Section E, ‘Strategy,’ 119-244, esp. pp.195-212.</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Jean-Marie Guéhenno, 'The Impact of Globalisation on Strategy,' Survival 40:4 (Winter 1998-1999) 5-19.</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Mary Midgley, ‘Understanding the “war on terrorism”’, OpenDemocracy. </w:t>
      </w: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Week 3 - 'War' and 'Peace'</w:t>
      </w: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Tarak Barkawi, Globalization and War (Lanham, MD: Rowman &amp; Littlefield, 2006) 27-57.</w:t>
      </w: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Recommended readings</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““Wars Useful” Says US Army Chief’, Common Dreams. Internet. Available at http://www.commondreams.org/headlines04/0122-05.htm. </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Osman Bah, ‘I was a child soldier,’ OpenDemocracy. </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Nigel Young, ‘Peace Movements in History,’ in David P. Barash, ed., Approaches to Peace: A Reader in Peace Studies (Oxford: Oxford University Press, 2000) 228-237.</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Michael Doyle, 'Liberalism and World Politics,' American Political Science Review 80:4 (1986) 1151-1169. (available on-line at JSTOR) </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Cynthia Enloe, 'How do they Militarize a Can of Soup?' in Maneuvers: The International Politics of Militarizing Women's Lives (Berkeley, CA: University of California Press, 2000)1-34. </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Simona Sharoni, 'Gendering Peace and Violence in Israel/Palestine and the North of Ireland,' Millennium: Journal of International Studies 27:4 (1998) 1061-1089. </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Kenneth Waltz, Man, the State and War: A Theoretical Analysis (New York: Columbia University Press, 1954). </w:t>
      </w: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Week 4 - Globalization and War</w:t>
      </w: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Tarak Barkawi, Globalization and War (Lanham, MD: Rowman &amp; Littlefield, 2006) 59-90.</w:t>
      </w: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Recommended Readings</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Fred Halliday, ‘Terrorism in a Historical Perspective,’ Open Democracy. Internet. Available at www.opendemocracy.net. </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Mary Kaldor, ‘Terrorism as Regressive Globalisation,’ OpenDemocracy (2003). Available at www.opendemocracy.net</w:t>
      </w: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Week 5 - Meanings of Peace and Security in the Developing World </w:t>
      </w: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Tarak Barkawi, Globalization and War (Lanham, MD: Rowman &amp; Littlefield, 2006) 91-126.</w:t>
      </w: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Recommended readings</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Brian L. Job, 'The Insecurity Dilemma: National, Regime, and State Securities in the Third World,' in The Insecurity Dilemma: National Security of Third World States, Brian L. Job, ed. (Boulder, CO: Lynne Rienner, 1992) 11-35.</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Michael T. Klare, 'Growing Firepower in the Third World,' Bulletin of the Atomic Scientists 46:4 (May 1990) (http://www.bullatomsci.org/issues/1990/may90/may90klare/html).</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Bahgat Korany, 'National Security in the Arab World: The Persistence of Dualism,' in The Arab World Today, Dan Tschirgi, ed. (Boulder, CO: Lynne Rienner, 1994) 161-178. </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Larry A. Swatuk and Peter Vale, 'Why Democracy is not Enough: Southern Africa and Human Security in the Twenty-first Century,' Alternatives 24 (1999) 361-389. </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Caroline Thomas, In Search of Security: The Third World in International Relations (Sussex: Wheatsheaf, 1987).</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Caroline Thomas, ‘New Directions in Thinking About Security in the Third World,’ in New Thinking About Strategy and International Security, Ken Booth, ed. (London: Harper Collins, 1991) 267-289.</w:t>
      </w: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Week 6 - Terrorism and ‘New’ Security Challenges</w:t>
      </w: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Tarak Barkawi, Globalization and War (Lanham, MD: Rowman &amp; Littlefield, 2006) 127-172.</w:t>
      </w: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Recommended Readings</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Michael T. Klare, 'Redefining Security: The New Global Schisms,’ in David P. Barash, ed., Approaches to Peace: A Reader in Peace Studies (Oxford: Oxford University Press, 2000) 52-58. </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State of the World 2005 Trends and Facts — Security Redefined, Worldwatch Institute. Internet. Available at http://www.worldwatch.org/features/security/tf/1</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Thomas Homer-Dixon, 'Environmental Scarcity and Intergroup Conflict,' in World Security: Challenges for a New Century, 3rd ed.</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Michael T. Klare and Yogesh Chandrani, eds. (New York: St Martin's Press, 1998) 342-365. </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Samuel P. Huntington, 'The Clash of Civilisations,' Foreign Affairs 72: 3 (Summer 1993) 22-49.</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Robert D. Kaplan, 'The Coming Anarchy,' Atlantic Monthly (February 1994) (available on-line at http://www.theatlantic.com/politics/foreign/anarcf.htm). </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Jessica Tuchman Matthews, ‘Redefining Security,’ Foreign Affairs 68:2 (1989) 162-177. </w:t>
      </w: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Week 7 - Nuclear Weapons and the 'Long Peace' </w:t>
      </w: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Richard Ned Lebow and Janice Gross Stein, ‘Nuclear Lessons of the Cold War,’ in Ken Booth, ed., Statecraft and Security: The Cold War and Beyond (Cambridge: Cambridge University Press, 1998) 71-86. </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‘Does the World Need to Have Nuclear Weapons at all?’ in John T. Rouke, ed., Taking Sides: Clashing Views on Controversial Issues in World Politics, 7th ed. (Guildford, CN: Dushkin Publishing Group, 1996) 222-231. </w:t>
      </w: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Recommended readings</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Eric Herring, ‘The Decline of Nuclear Diplomacy,’ in New Thinking About Strategy and International Security, Ken Booth, ed. (London: Harper Collins, 1991) 90-109.</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John Mueller, Retreat from Doomsday: The Obsolescence of Major War (New York: Basic Books, 1989) pp. 3-13, 93-116. </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Kenneth Waltz, 'Nuclear Myths and Political Realities,' The American Political Science Review 84:3 (1990) 731-745. (available on-line at JSTOR)</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Lawrence Freedman, ‘Whither Nuclear Strategy?’ in New Thinking About Strategy and International Security, Ken Booth, ed. (London: Harper Collins, 1991) 75-89.</w:t>
      </w: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Week 8 - Legacies of the 'Long Peace' </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Michael MccGwire, 'Deterrence: The Problem?Not the Solution,' Strategic Studies 9:4 (December 1986) 25-42. </w:t>
      </w: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Recommended readings</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George A. Lopez and Nancy J. Myers, eds., Peace and Security: The Next Generation (Oxford: Rowman and Littlefield, 1997) pp.92-123. </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Ken Booth, 'Cold Wars of the Mind,' in Statecraft and Security: The Cold War and Beyond (Cambridge: Cambridge University Press, 1998) 29-55. </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Mary Kaldor, 'Rethinking Cold War History,' in Ken Booth, ed., New Thinking About Strategy and International Security (London: Harper Collins, 1991) 313-331. </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Pinar Bilgin and Adam David Morton, ‘Historicising Representations of “Failed States”: Beyond the Cold War Annexation of the Social Sciences?’ Third World Quarterly 23:1 (2002) 55-80. </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Noam Chomsky et al, The Cold War and the University: Toward an Intellectual History of the Postwar Years (New York: The New Press, 1997).</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Christopher Simpson, ed., Universities and Empire: Money and Politics in the Social Sciences during the Cold War (New York: The New Press, 1998).</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Stephen I. Schwartz et al, 'Four Trillion Dollars and Still Counting,' in Bulletin of the Atomic Scientists (http://www.thebulletin.org/issues/1995/nd95/nd95.schwartz.html). </w:t>
      </w: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Week 10 - ‘Just and Unjust Wars’ </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William V. O’Brien, ‘The Conduct of Just and Limited War,’ in David P. Barash, ed., Approaches to Peace: A Reader in Peace Studies (Oxford: Oxford University Press, 2000) 80-85. </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Richard Falk, ‘Appraising the War against Afghanistan.’ Internet. Available at http://www.theglobalsite.ac.uk/press/201falk.htm </w:t>
      </w: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Recommended readings</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Michael Walzer, Just and Unjust Wars: A Moral Argument with Historical Illustrations (New York: Basic Books, 1977).</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Richard Falk, The Great Terror War (New York: Olive Branch Press, 2003).</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Paul Gilbert, New Terror, New Wars (Edinburgh: Edinburgh University Press, 2003), esp. pp. 1-46.</w:t>
      </w: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Week 11 - 'New' Problems, 'Old' Policies:</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Multilateral Peacekeeping</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Michael Barnett, ‘Peacekeeping, Indifference and Genocide in Rwanda,’ in Cultures of Insecurity: States, Communities and the Production of Danger, Jutta Weldes et al., eds. (Minneapolis, MD: University of Minnesota Press, 1999) 173-202. </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‘Should a Permanent UN Military Force be Established?’ in John T. Rouke,ed., Taking Sides: Clashing Views on Controversial Issues in World Politics, 7th ed. (Guildford, CN: Dushkin Publishing Group, 1996) 232-255. </w:t>
      </w: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Recommended readings</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Marrack Goulding, ‘The Evolution of United Nations Peacekeeping,’ in David P. Barash, ed., Approaches to Peace: A Reader in Peace Studies (Oxford: Oxford University Press, 2000) 114-122. </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George A. Lopez and Nancy J. Myers, eds., Peace and Security: The Next Generation (Oxford: Rowman and Littlefield, 1997) pp.167-173 (Mehic), 173-180 (Dean), 180-182 (Kull), 183-187 (Eland), 188-189 (Christiansen and Powers). </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Li, Daryll, 'Anatomy of a Balkan Massacre,' Harvard International Review (Fall 2000) 34-37.</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Margaret P. Karns and Karen A. Mingst, 'The Evolution of United Nations Peacekeeping and Peacemaking: Lessons from the Past and Challenges for the Future,' in World Security: Challenges for a New Century,</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Michael T. Clare and Yogesh Chandrani, eds. (New York: St Martin's Press, 1998) 200-228. </w:t>
      </w: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Week 12</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'New' Problems, 'Old' Policies: Military Intervention</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Michael MccGwire, 'Why Did We Bomb Belgrade?' International Affairs 76:1 (January 2000) 1-23. </w:t>
      </w: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Recommended readings</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Nicholas J. Wheeler and Alex J. Bellamy, ‘Humanitarian Intervention and World Politics,’ in John Baylis and Steve Smith, eds., The Globalization of World Politics: An Introduction to International Relations (Oxford: Oxford University Press, 2001) 470-493. </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Ken Booth, 'Human Wrongs and International Relations,' International Affairs 71:1 (1995) 103-126. </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Pascal Boniface, Güçsüzlük Istegi: Uluslararasi ve Stratejik Tutkularin Sonu mu? Alp Tümertekin, trans. (Istanbul: Yapi Kredi Yayinlari, 1997) 142-177.  </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Deiniol Jones, Cosmopolitan Mediation? Conflict Resolution and the Oslo Accords (Manchester: Manchester University Press, 1991) 105-156.</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Michael J. Smith, 'Humanitarian Intervention Revisited: Is There a Universal Policy?' Harvard International Review XXII:3 (Fall 2000) 72-76. </w:t>
      </w: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Week 13 - 'New Wars' and the Future of Security in Europe </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Mary Kaldor, New and Old Wars: Organized Violence in a Global Era (Oxford: Polity Press, 1999) 31-68. </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‘European Security Strategy’ (2003) (The Solana Paper). Internet. Available at http://ue.eu.int/uedocs/cmsUpload/78367.pdf</w:t>
      </w: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Recommended readings</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Robert O’Neill, ‘Europe and the Wider World: The Security Challenge,’ in Ken Booth, ed., Statecraft and Security: The Cold War and Beyond,</w:t>
      </w:r>
    </w:p>
    <w:p w:rsidR="00986EA8" w:rsidRDefault="00986EA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Ken Booth, ed. (Cambridge: Cambridge University Press, 1998) 194-208. </w:t>
      </w: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18"/>
          <w:szCs w:val="18"/>
        </w:rPr>
      </w:pPr>
    </w:p>
    <w:p w:rsidR="00986EA8" w:rsidRDefault="00986EA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http://pbilgin.bilkent.edu.tr/IR333-2006.pdf</w:t>
      </w: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Arial" w:hAnsi="Arial" w:cs="Arial"/>
          <w:sz w:val="20"/>
          <w:szCs w:val="20"/>
        </w:rPr>
      </w:pPr>
    </w:p>
    <w:p w:rsidR="00986EA8" w:rsidRDefault="00986EA8">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986EA8" w:rsidRDefault="00986EA8">
      <w:pPr>
        <w:widowControl w:val="0"/>
        <w:autoSpaceDE w:val="0"/>
        <w:autoSpaceDN w:val="0"/>
        <w:adjustRightInd w:val="0"/>
        <w:spacing w:after="0" w:line="240" w:lineRule="auto"/>
        <w:rPr>
          <w:rFonts w:ascii="Times New Roman" w:hAnsi="Times New Roman" w:cs="Times New Roman"/>
          <w:sz w:val="34"/>
          <w:szCs w:val="34"/>
        </w:rPr>
      </w:pPr>
    </w:p>
    <w:p w:rsidR="00986EA8" w:rsidRDefault="00986EA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986EA8" w:rsidSect="00986EA8">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6EA8" w:rsidRDefault="00986EA8" w:rsidP="00986EA8">
      <w:pPr>
        <w:spacing w:after="0" w:line="240" w:lineRule="auto"/>
      </w:pPr>
      <w:r>
        <w:separator/>
      </w:r>
    </w:p>
  </w:endnote>
  <w:endnote w:type="continuationSeparator" w:id="0">
    <w:p w:rsidR="00986EA8" w:rsidRDefault="00986EA8" w:rsidP="00986E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EA8" w:rsidRDefault="00986EA8">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6EA8" w:rsidRDefault="00986EA8" w:rsidP="00986EA8">
      <w:pPr>
        <w:spacing w:after="0" w:line="240" w:lineRule="auto"/>
      </w:pPr>
      <w:r>
        <w:separator/>
      </w:r>
    </w:p>
  </w:footnote>
  <w:footnote w:type="continuationSeparator" w:id="0">
    <w:p w:rsidR="00986EA8" w:rsidRDefault="00986EA8" w:rsidP="00986EA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EA8" w:rsidRDefault="00986EA8">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6EA8"/>
    <w:rsid w:val="00986EA8"/>
    <w:rsid w:val="00CD243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6378</Words>
  <Characters>36361</Characters>
  <Application>Microsoft Office Word</Application>
  <DocSecurity>4</DocSecurity>
  <Lines>303</Lines>
  <Paragraphs>85</Paragraphs>
  <ScaleCrop>false</ScaleCrop>
  <Company/>
  <LinksUpToDate>false</LinksUpToDate>
  <CharactersWithSpaces>42654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2016-05-16T14:39:00Z</dcterms:created>
  <dcterms:modified xsi:type="dcterms:W3CDTF">2016-05-16T14:39:00Z</dcterms:modified>
</cp:coreProperties>
</file>